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28" w:rsidRPr="00DD744C" w:rsidRDefault="00FC5128" w:rsidP="00FC5128">
      <w:pPr>
        <w:pStyle w:val="2"/>
        <w:spacing w:before="240" w:after="120"/>
      </w:pPr>
      <w:bookmarkStart w:id="0" w:name="_Toc452477479"/>
      <w:bookmarkStart w:id="1" w:name="_Toc460335668"/>
      <w:bookmarkStart w:id="2" w:name="_GoBack"/>
      <w:bookmarkEnd w:id="2"/>
      <w:r w:rsidRPr="00DD744C">
        <w:rPr>
          <w:rFonts w:hint="eastAsia"/>
        </w:rPr>
        <w:t>关于进一步规范地方国库资金和财政专户资金管理的通知</w:t>
      </w:r>
      <w:bookmarkEnd w:id="0"/>
      <w:bookmarkEnd w:id="1"/>
    </w:p>
    <w:p w:rsidR="00FC5128" w:rsidRPr="00DD744C" w:rsidRDefault="00FC5128" w:rsidP="00FC5128">
      <w:pPr>
        <w:snapToGrid w:val="0"/>
        <w:spacing w:line="360" w:lineRule="exact"/>
        <w:jc w:val="center"/>
        <w:rPr>
          <w:rFonts w:cs="Arial"/>
          <w:color w:val="000000"/>
          <w:kern w:val="0"/>
          <w:szCs w:val="21"/>
        </w:rPr>
      </w:pPr>
      <w:r w:rsidRPr="00DD744C">
        <w:rPr>
          <w:rFonts w:hAnsi="宋体" w:cs="Arial"/>
          <w:color w:val="000000"/>
          <w:kern w:val="0"/>
          <w:szCs w:val="21"/>
        </w:rPr>
        <w:t>财库〔</w:t>
      </w:r>
      <w:r w:rsidRPr="00DD744C">
        <w:rPr>
          <w:rFonts w:cs="Arial"/>
          <w:color w:val="000000"/>
          <w:kern w:val="0"/>
          <w:szCs w:val="21"/>
        </w:rPr>
        <w:t>2014</w:t>
      </w:r>
      <w:r w:rsidRPr="00DD744C">
        <w:rPr>
          <w:rFonts w:hAnsi="宋体" w:cs="Arial"/>
          <w:color w:val="000000"/>
          <w:kern w:val="0"/>
          <w:szCs w:val="21"/>
        </w:rPr>
        <w:t>〕</w:t>
      </w:r>
      <w:r w:rsidRPr="00DD744C">
        <w:rPr>
          <w:rFonts w:cs="Arial"/>
          <w:color w:val="000000"/>
          <w:kern w:val="0"/>
          <w:szCs w:val="21"/>
        </w:rPr>
        <w:t>175</w:t>
      </w:r>
      <w:r w:rsidRPr="00DD744C">
        <w:rPr>
          <w:rFonts w:hAnsi="宋体" w:cs="Arial"/>
          <w:color w:val="000000"/>
          <w:kern w:val="0"/>
          <w:szCs w:val="21"/>
        </w:rPr>
        <w:t>号</w:t>
      </w:r>
    </w:p>
    <w:p w:rsidR="00FC5128" w:rsidRPr="00DD744C" w:rsidRDefault="00FC5128" w:rsidP="00FC5128">
      <w:pPr>
        <w:snapToGrid w:val="0"/>
        <w:spacing w:line="360" w:lineRule="exact"/>
        <w:jc w:val="left"/>
        <w:rPr>
          <w:rFonts w:cs="Arial"/>
          <w:color w:val="000000"/>
          <w:kern w:val="0"/>
          <w:szCs w:val="21"/>
        </w:rPr>
      </w:pPr>
    </w:p>
    <w:p w:rsidR="00FC5128" w:rsidRPr="00DD744C" w:rsidRDefault="00FC5128" w:rsidP="00FC5128">
      <w:pPr>
        <w:snapToGrid w:val="0"/>
        <w:spacing w:line="360" w:lineRule="exact"/>
        <w:jc w:val="left"/>
        <w:rPr>
          <w:rFonts w:cs="Arial"/>
          <w:color w:val="000000"/>
          <w:kern w:val="0"/>
          <w:szCs w:val="21"/>
        </w:rPr>
      </w:pPr>
      <w:r w:rsidRPr="00DD744C">
        <w:rPr>
          <w:rFonts w:hAnsi="宋体" w:cs="Arial"/>
          <w:color w:val="000000"/>
          <w:kern w:val="0"/>
          <w:szCs w:val="21"/>
        </w:rPr>
        <w:t>各省、自治区、直辖市、计划单列市财政厅（局）：</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自</w:t>
      </w:r>
      <w:r w:rsidRPr="00DD744C">
        <w:rPr>
          <w:rFonts w:cs="Arial"/>
          <w:color w:val="000000"/>
          <w:kern w:val="0"/>
          <w:szCs w:val="21"/>
        </w:rPr>
        <w:t>2001</w:t>
      </w:r>
      <w:r w:rsidRPr="00DD744C">
        <w:rPr>
          <w:rFonts w:hAnsi="宋体" w:cs="Arial"/>
          <w:color w:val="000000"/>
          <w:kern w:val="0"/>
          <w:szCs w:val="21"/>
        </w:rPr>
        <w:t>年我国实施国库集中收付制度改革以来，财政资金运行的机制发生了根本性变化，安全性、规范性和有效性显著提升。但近年来，一些地方财政部门国库资金管理存在以下不规范的问题：违规将国库资金转入财政</w:t>
      </w:r>
      <w:proofErr w:type="gramStart"/>
      <w:r w:rsidRPr="00DD744C">
        <w:rPr>
          <w:rFonts w:hAnsi="宋体" w:cs="Arial"/>
          <w:color w:val="000000"/>
          <w:kern w:val="0"/>
          <w:szCs w:val="21"/>
        </w:rPr>
        <w:t>专户虚列支</w:t>
      </w:r>
      <w:proofErr w:type="gramEnd"/>
      <w:r w:rsidRPr="00DD744C">
        <w:rPr>
          <w:rFonts w:hAnsi="宋体" w:cs="Arial"/>
          <w:color w:val="000000"/>
          <w:kern w:val="0"/>
          <w:szCs w:val="21"/>
        </w:rPr>
        <w:t>出；用国库资金对外借款规模较大，清理回收不及时；未严格执行国务院和财政部关于规范财政专户管理的规定，该撤销的财政专户未及时撤销，该归口财政部门国库管理机构统一管理的财政专户未及时转交；极少数地方顶风违纪，又擅自新开设财政专户，等等。这些问题暴露出一些地方财政部门对国库资金和财政专户资金管理工作重视不够，措施不力，如不尽快解决，不仅会给财政资金安全带来风险，而且会影响到现代财政国库管理制度建设和预算管理制度改革的深化。为贯彻落实《国务院关于深化预算管理制度改革的决定》</w:t>
      </w:r>
      <w:r w:rsidRPr="00DD744C">
        <w:rPr>
          <w:rFonts w:cs="Arial"/>
          <w:color w:val="000000"/>
          <w:kern w:val="0"/>
          <w:szCs w:val="21"/>
        </w:rPr>
        <w:t>(</w:t>
      </w:r>
      <w:r w:rsidRPr="00DD744C">
        <w:rPr>
          <w:rFonts w:hAnsi="宋体" w:cs="Arial"/>
          <w:color w:val="000000"/>
          <w:kern w:val="0"/>
          <w:szCs w:val="21"/>
        </w:rPr>
        <w:t>国发〔</w:t>
      </w:r>
      <w:r w:rsidRPr="00DD744C">
        <w:rPr>
          <w:rFonts w:cs="Arial"/>
          <w:color w:val="000000"/>
          <w:kern w:val="0"/>
          <w:szCs w:val="21"/>
        </w:rPr>
        <w:t>2014</w:t>
      </w:r>
      <w:r w:rsidRPr="00DD744C">
        <w:rPr>
          <w:rFonts w:hAnsi="宋体" w:cs="Arial"/>
          <w:color w:val="000000"/>
          <w:kern w:val="0"/>
          <w:szCs w:val="21"/>
        </w:rPr>
        <w:t>〕</w:t>
      </w:r>
      <w:r w:rsidRPr="00DD744C">
        <w:rPr>
          <w:rFonts w:cs="Arial"/>
          <w:color w:val="000000"/>
          <w:kern w:val="0"/>
          <w:szCs w:val="21"/>
        </w:rPr>
        <w:t>45</w:t>
      </w:r>
      <w:r w:rsidRPr="00DD744C">
        <w:rPr>
          <w:rFonts w:hAnsi="宋体" w:cs="Arial"/>
          <w:color w:val="000000"/>
          <w:kern w:val="0"/>
          <w:szCs w:val="21"/>
        </w:rPr>
        <w:t>号</w:t>
      </w:r>
      <w:r w:rsidRPr="00DD744C">
        <w:rPr>
          <w:rFonts w:cs="Arial"/>
          <w:color w:val="000000"/>
          <w:kern w:val="0"/>
          <w:szCs w:val="21"/>
        </w:rPr>
        <w:t xml:space="preserve">) </w:t>
      </w:r>
      <w:r w:rsidRPr="00DD744C">
        <w:rPr>
          <w:rFonts w:hAnsi="宋体" w:cs="Arial"/>
          <w:color w:val="000000"/>
          <w:kern w:val="0"/>
          <w:szCs w:val="21"/>
        </w:rPr>
        <w:t>有关要求，进一步规范国库资金和财政专户资金管理，现就有关问题通知如下：</w:t>
      </w:r>
    </w:p>
    <w:p w:rsidR="00FC5128" w:rsidRPr="00DD744C" w:rsidRDefault="00FC5128" w:rsidP="00FC5128">
      <w:pPr>
        <w:snapToGrid w:val="0"/>
        <w:spacing w:line="360" w:lineRule="exact"/>
        <w:ind w:firstLineChars="200" w:firstLine="422"/>
        <w:jc w:val="left"/>
        <w:rPr>
          <w:rFonts w:cs="Arial"/>
          <w:color w:val="000000"/>
          <w:kern w:val="0"/>
          <w:szCs w:val="21"/>
        </w:rPr>
      </w:pPr>
      <w:r w:rsidRPr="00DD744C">
        <w:rPr>
          <w:rFonts w:hAnsi="宋体" w:cs="Arial"/>
          <w:b/>
          <w:bCs/>
          <w:color w:val="000000"/>
          <w:kern w:val="0"/>
          <w:szCs w:val="21"/>
        </w:rPr>
        <w:t>一、严格执行国库集中收付制度</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一）除依照法律法规和国务院、财政部的规定纳入财政专户管理的资金外，预算安排的资金应全部实行国库集中支付制度，切实提高国库资金支付效率、安全性和透明度，严禁违规将财政资金从国库转入财政专户并虚列支出，严禁违规将财政资金支付到预算单位实有资金银行账户。地方各级财政除国库集中支付年终结余外，一律不得按权责发生制列支。</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（二）积极推行非税收</w:t>
      </w:r>
      <w:proofErr w:type="gramStart"/>
      <w:r w:rsidRPr="00DD744C">
        <w:rPr>
          <w:rFonts w:hAnsi="宋体" w:cs="Arial"/>
          <w:color w:val="000000"/>
          <w:kern w:val="0"/>
          <w:szCs w:val="21"/>
        </w:rPr>
        <w:t>入电子</w:t>
      </w:r>
      <w:proofErr w:type="gramEnd"/>
      <w:r w:rsidRPr="00DD744C">
        <w:rPr>
          <w:rFonts w:hAnsi="宋体" w:cs="Arial"/>
          <w:color w:val="000000"/>
          <w:kern w:val="0"/>
          <w:szCs w:val="21"/>
        </w:rPr>
        <w:t>缴款，优化非税收入收缴流程，实时匹配非税收入资金和信息，创造条件实现应上缴国库的非税收入资金直接缴入国库，提高非税收入缴库效率。暂未实现非税收入资金直接缴入国库的，应当将先入财政专户的非税收入资金在</w:t>
      </w:r>
      <w:r w:rsidRPr="00DD744C">
        <w:rPr>
          <w:rFonts w:cs="Arial"/>
          <w:color w:val="000000"/>
          <w:kern w:val="0"/>
          <w:szCs w:val="21"/>
        </w:rPr>
        <w:t>10</w:t>
      </w:r>
      <w:r w:rsidRPr="00DD744C">
        <w:rPr>
          <w:rFonts w:hAnsi="宋体" w:cs="Arial"/>
          <w:color w:val="000000"/>
          <w:kern w:val="0"/>
          <w:szCs w:val="21"/>
        </w:rPr>
        <w:t>个工作日内足额从财政专户缴入国库，不得以任何理由拖延或不缴。坚决杜绝调节财政收入行为。</w:t>
      </w:r>
    </w:p>
    <w:p w:rsidR="00FC5128" w:rsidRPr="00DD744C" w:rsidRDefault="00FC5128" w:rsidP="00FC5128">
      <w:pPr>
        <w:snapToGrid w:val="0"/>
        <w:spacing w:line="360" w:lineRule="exact"/>
        <w:ind w:firstLineChars="200" w:firstLine="422"/>
        <w:jc w:val="left"/>
        <w:rPr>
          <w:rFonts w:cs="Arial"/>
          <w:color w:val="000000"/>
          <w:kern w:val="0"/>
          <w:szCs w:val="21"/>
        </w:rPr>
      </w:pPr>
      <w:r w:rsidRPr="00DD744C">
        <w:rPr>
          <w:rFonts w:hAnsi="宋体" w:cs="Arial"/>
          <w:b/>
          <w:bCs/>
          <w:color w:val="000000"/>
          <w:kern w:val="0"/>
          <w:szCs w:val="21"/>
        </w:rPr>
        <w:t>二、严格控制新增财政对外借款</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（三）全面清理已经发生的财政借垫款。各级财政部门要采取切实可行措施，必要时运用法律手段，抓紧全面清理已经发生的财政借垫款。应当由预算安排支出的要抓紧安排预算，原则上应在</w:t>
      </w:r>
      <w:r w:rsidRPr="00DD744C">
        <w:rPr>
          <w:rFonts w:cs="Arial"/>
          <w:color w:val="000000"/>
          <w:kern w:val="0"/>
          <w:szCs w:val="21"/>
        </w:rPr>
        <w:t>2017</w:t>
      </w:r>
      <w:r w:rsidRPr="00DD744C">
        <w:rPr>
          <w:rFonts w:hAnsi="宋体" w:cs="Arial"/>
          <w:color w:val="000000"/>
          <w:kern w:val="0"/>
          <w:szCs w:val="21"/>
        </w:rPr>
        <w:t>年底前列支完毕。其他财政借垫款原则上应在</w:t>
      </w:r>
      <w:r w:rsidRPr="00DD744C">
        <w:rPr>
          <w:rFonts w:cs="Arial"/>
          <w:color w:val="000000"/>
          <w:kern w:val="0"/>
          <w:szCs w:val="21"/>
        </w:rPr>
        <w:t>2016</w:t>
      </w:r>
      <w:r w:rsidRPr="00DD744C">
        <w:rPr>
          <w:rFonts w:hAnsi="宋体" w:cs="Arial"/>
          <w:color w:val="000000"/>
          <w:kern w:val="0"/>
          <w:szCs w:val="21"/>
        </w:rPr>
        <w:t>年底前收回。经核实确实无法收回的财政周转金和其他财政借垫款，应在</w:t>
      </w:r>
      <w:r w:rsidRPr="00DD744C">
        <w:rPr>
          <w:rFonts w:cs="Arial"/>
          <w:color w:val="000000"/>
          <w:kern w:val="0"/>
          <w:szCs w:val="21"/>
        </w:rPr>
        <w:t>2017</w:t>
      </w:r>
      <w:r w:rsidRPr="00DD744C">
        <w:rPr>
          <w:rFonts w:hAnsi="宋体" w:cs="Arial"/>
          <w:color w:val="000000"/>
          <w:kern w:val="0"/>
          <w:szCs w:val="21"/>
        </w:rPr>
        <w:t>年底前报经同级人民政府批准同意后，按规定核销。</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四）严格控制新增财政对外借款。各级财政部门要严格按照批准的年度预算和用款计划拨款，对于年度预算执行中确需新增的支出项目，应按规定通过动支预备费或调整当年预算解决，不得对外借款。对于确需出借的临时急需款项，应严格限定借款对象、用途和期限。借款对象应限于纳入本级预算管理的一级预算单位（不含企业），不得对</w:t>
      </w:r>
      <w:proofErr w:type="gramStart"/>
      <w:r w:rsidRPr="00DD744C">
        <w:rPr>
          <w:rFonts w:hAnsi="宋体" w:cs="Arial"/>
          <w:color w:val="000000"/>
          <w:kern w:val="0"/>
          <w:szCs w:val="21"/>
        </w:rPr>
        <w:t>非预算</w:t>
      </w:r>
      <w:proofErr w:type="gramEnd"/>
      <w:r w:rsidRPr="00DD744C">
        <w:rPr>
          <w:rFonts w:hAnsi="宋体" w:cs="Arial"/>
          <w:color w:val="000000"/>
          <w:kern w:val="0"/>
          <w:szCs w:val="21"/>
        </w:rPr>
        <w:t>单位及未纳入年度预算的项目借款和垫付财政资金，且应仅限于临时性资金周转或者为应对社会影响较大的突发事件的临时急需垫款。借款期限不得超过一年。</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五）严格规范财政对外借款审批程序。各级财政部门要制定财政对外借款内部审核程序，详细核查新增财政对外借款的借款对象和借款用途等，符合规定且确需借款的，应报经同级人民政府常务会议批准同意后办理借款手续。财政部门要与借款单位签订借款协议，明确借款金额、借款用途、借款期限、还款来源和违约责任。</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lastRenderedPageBreak/>
        <w:t>（六）加强财政对外借款日常管理。各级财政部门应完善内部职责分工，落实借款管理责任。建立财政对外</w:t>
      </w:r>
      <w:proofErr w:type="gramStart"/>
      <w:r w:rsidRPr="00DD744C">
        <w:rPr>
          <w:rFonts w:hAnsi="宋体" w:cs="Arial"/>
          <w:color w:val="000000"/>
          <w:kern w:val="0"/>
          <w:szCs w:val="21"/>
        </w:rPr>
        <w:t>借款台</w:t>
      </w:r>
      <w:proofErr w:type="gramEnd"/>
      <w:r w:rsidRPr="00DD744C">
        <w:rPr>
          <w:rFonts w:hAnsi="宋体" w:cs="Arial"/>
          <w:color w:val="000000"/>
          <w:kern w:val="0"/>
          <w:szCs w:val="21"/>
        </w:rPr>
        <w:t>账，详细记录每笔借款的对象、期限、金额等信息，并定期与总会计账簿核对。完整保存财政对外借款的审批文件、借款协议、拨付凭证等档案资料。加强对借款单位资金使用情况的监督检查，一经发现有借款用途发生改变等情况要立即收回借款。</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（七）建立财政对外借款回收保证和责任追究机制。各级财政部门要建立到期借款预警机制，督促借款单位按期还款。对于不能按期还款的，要采取扣减预算等方式确保及时收回借款。存在逾期借款</w:t>
      </w:r>
      <w:proofErr w:type="gramStart"/>
      <w:r w:rsidRPr="00DD744C">
        <w:rPr>
          <w:rFonts w:hAnsi="宋体" w:cs="Arial"/>
          <w:color w:val="000000"/>
          <w:kern w:val="0"/>
          <w:szCs w:val="21"/>
        </w:rPr>
        <w:t>未偿</w:t>
      </w:r>
      <w:proofErr w:type="gramEnd"/>
      <w:r w:rsidRPr="00DD744C">
        <w:rPr>
          <w:rFonts w:hAnsi="宋体" w:cs="Arial"/>
          <w:color w:val="000000"/>
          <w:kern w:val="0"/>
          <w:szCs w:val="21"/>
        </w:rPr>
        <w:t>还的单位，不得再新增借款。要建立财政对外借款终身负责制，对于相关责任人违规对外借款造成出借财政资金损失的，要依法提请有关部门追究其法律责任。</w:t>
      </w:r>
    </w:p>
    <w:p w:rsidR="00FC5128" w:rsidRPr="00DD744C" w:rsidRDefault="00FC5128" w:rsidP="00FC5128">
      <w:pPr>
        <w:snapToGrid w:val="0"/>
        <w:spacing w:line="360" w:lineRule="exact"/>
        <w:ind w:firstLineChars="200" w:firstLine="422"/>
        <w:jc w:val="left"/>
        <w:rPr>
          <w:rFonts w:cs="Arial"/>
          <w:color w:val="000000"/>
          <w:kern w:val="0"/>
          <w:szCs w:val="21"/>
        </w:rPr>
      </w:pPr>
      <w:r w:rsidRPr="00DD744C">
        <w:rPr>
          <w:rFonts w:hAnsi="宋体" w:cs="Arial"/>
          <w:b/>
          <w:bCs/>
          <w:color w:val="000000"/>
          <w:kern w:val="0"/>
          <w:szCs w:val="21"/>
        </w:rPr>
        <w:t>三、严格规范财政专户管理</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（八）严格规范财政专户开立程序。各级财政部门一律不得新设专项支出财政专户，开立其他财政专户的，要严格执行《财政部关于印发</w:t>
      </w:r>
      <w:r w:rsidRPr="00DD744C">
        <w:rPr>
          <w:rFonts w:cs="Arial"/>
          <w:color w:val="000000"/>
          <w:kern w:val="0"/>
          <w:szCs w:val="21"/>
        </w:rPr>
        <w:t>&lt;</w:t>
      </w:r>
      <w:r w:rsidRPr="00DD744C">
        <w:rPr>
          <w:rFonts w:hAnsi="宋体" w:cs="Arial"/>
          <w:color w:val="000000"/>
          <w:kern w:val="0"/>
          <w:szCs w:val="21"/>
        </w:rPr>
        <w:t>财政专户管理办法</w:t>
      </w:r>
      <w:r w:rsidRPr="00DD744C">
        <w:rPr>
          <w:rFonts w:cs="Arial"/>
          <w:color w:val="000000"/>
          <w:kern w:val="0"/>
          <w:szCs w:val="21"/>
        </w:rPr>
        <w:t>&gt;</w:t>
      </w:r>
      <w:r w:rsidRPr="00DD744C">
        <w:rPr>
          <w:rFonts w:hAnsi="宋体" w:cs="Arial"/>
          <w:color w:val="000000"/>
          <w:kern w:val="0"/>
          <w:szCs w:val="21"/>
        </w:rPr>
        <w:t>的通知》（财库〔</w:t>
      </w:r>
      <w:r w:rsidRPr="00DD744C">
        <w:rPr>
          <w:rFonts w:cs="Arial"/>
          <w:color w:val="000000"/>
          <w:kern w:val="0"/>
          <w:szCs w:val="21"/>
        </w:rPr>
        <w:t>2013</w:t>
      </w:r>
      <w:r w:rsidRPr="00DD744C">
        <w:rPr>
          <w:rFonts w:hAnsi="宋体" w:cs="Arial"/>
          <w:color w:val="000000"/>
          <w:kern w:val="0"/>
          <w:szCs w:val="21"/>
        </w:rPr>
        <w:t>〕</w:t>
      </w:r>
      <w:r w:rsidRPr="00DD744C">
        <w:rPr>
          <w:rFonts w:cs="Arial"/>
          <w:color w:val="000000"/>
          <w:kern w:val="0"/>
          <w:szCs w:val="21"/>
        </w:rPr>
        <w:t>46</w:t>
      </w:r>
      <w:r w:rsidRPr="00DD744C">
        <w:rPr>
          <w:rFonts w:hAnsi="宋体" w:cs="Arial"/>
          <w:color w:val="000000"/>
          <w:kern w:val="0"/>
          <w:szCs w:val="21"/>
        </w:rPr>
        <w:t>号）规定的开立条件和程序，未经核准，一律不得新开立财政专户。省级财政部门对省本级及省以下财政部门的开户申请，要切实履行审核职责，对于不符合开户条件的财政专户，不予向财政部报批。</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（九）全面清理整顿存量财政专户。除经财政部审核并报国务院批准予以保留的财政专户外，其余财政专户在</w:t>
      </w:r>
      <w:r w:rsidRPr="00DD744C">
        <w:rPr>
          <w:rFonts w:cs="Arial"/>
          <w:color w:val="000000"/>
          <w:kern w:val="0"/>
          <w:szCs w:val="21"/>
        </w:rPr>
        <w:t>2</w:t>
      </w:r>
      <w:r w:rsidRPr="00DD744C">
        <w:rPr>
          <w:rFonts w:hAnsi="宋体" w:cs="Arial"/>
          <w:color w:val="000000"/>
          <w:kern w:val="0"/>
          <w:szCs w:val="21"/>
        </w:rPr>
        <w:t>年内逐步取消。具体撤并要求和时限按照财政部相关规定执行。</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（十）全面实现财政专户归口管理。财政专户未全部归口管理的地区，财政部门要严格按照有关规定将非税收入财政专户等各</w:t>
      </w:r>
      <w:proofErr w:type="gramStart"/>
      <w:r w:rsidRPr="00DD744C">
        <w:rPr>
          <w:rFonts w:hAnsi="宋体" w:cs="Arial"/>
          <w:color w:val="000000"/>
          <w:kern w:val="0"/>
          <w:szCs w:val="21"/>
        </w:rPr>
        <w:t>类财政</w:t>
      </w:r>
      <w:proofErr w:type="gramEnd"/>
      <w:r w:rsidRPr="00DD744C">
        <w:rPr>
          <w:rFonts w:hAnsi="宋体" w:cs="Arial"/>
          <w:color w:val="000000"/>
          <w:kern w:val="0"/>
          <w:szCs w:val="21"/>
        </w:rPr>
        <w:t>专户归口财政部门国库管理机构统一管理，并明确财政部门国库管理机构和财政部</w:t>
      </w:r>
      <w:proofErr w:type="gramStart"/>
      <w:r w:rsidRPr="00DD744C">
        <w:rPr>
          <w:rFonts w:hAnsi="宋体" w:cs="Arial"/>
          <w:color w:val="000000"/>
          <w:kern w:val="0"/>
          <w:szCs w:val="21"/>
        </w:rPr>
        <w:t>门其他</w:t>
      </w:r>
      <w:proofErr w:type="gramEnd"/>
      <w:r w:rsidRPr="00DD744C">
        <w:rPr>
          <w:rFonts w:hAnsi="宋体" w:cs="Arial"/>
          <w:color w:val="000000"/>
          <w:kern w:val="0"/>
          <w:szCs w:val="21"/>
        </w:rPr>
        <w:t>机构的职责分工，建立相互协调、相互制衡的内部工作机制。</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（十一）强化财政专户资金使用管理。禁止将财政专户资金借出周转使用，对已经出借的财政专户资金要制定回收计划，限期予以收回。财政专户资金保值增值操作要严格按照财库〔</w:t>
      </w:r>
      <w:r w:rsidRPr="00DD744C">
        <w:rPr>
          <w:rFonts w:cs="Arial"/>
          <w:color w:val="000000"/>
          <w:kern w:val="0"/>
          <w:szCs w:val="21"/>
        </w:rPr>
        <w:t>2013</w:t>
      </w:r>
      <w:r w:rsidRPr="00DD744C">
        <w:rPr>
          <w:rFonts w:hAnsi="宋体" w:cs="Arial"/>
          <w:color w:val="000000"/>
          <w:kern w:val="0"/>
          <w:szCs w:val="21"/>
        </w:rPr>
        <w:t>〕</w:t>
      </w:r>
      <w:r w:rsidRPr="00DD744C">
        <w:rPr>
          <w:rFonts w:cs="Arial"/>
          <w:color w:val="000000"/>
          <w:kern w:val="0"/>
          <w:szCs w:val="21"/>
        </w:rPr>
        <w:t>46</w:t>
      </w:r>
      <w:r w:rsidRPr="00DD744C">
        <w:rPr>
          <w:rFonts w:hAnsi="宋体" w:cs="Arial"/>
          <w:color w:val="000000"/>
          <w:kern w:val="0"/>
          <w:szCs w:val="21"/>
        </w:rPr>
        <w:t>号文件规定的方式进行，原则上不得在开户银行经办机构之外开展保值增值操作。</w:t>
      </w:r>
    </w:p>
    <w:p w:rsidR="00FC5128" w:rsidRPr="00DD744C" w:rsidRDefault="00FC5128" w:rsidP="00FC5128">
      <w:pPr>
        <w:snapToGrid w:val="0"/>
        <w:spacing w:line="360" w:lineRule="exact"/>
        <w:ind w:firstLineChars="200" w:firstLine="422"/>
        <w:jc w:val="left"/>
        <w:rPr>
          <w:rFonts w:cs="Arial"/>
          <w:color w:val="000000"/>
          <w:kern w:val="0"/>
          <w:szCs w:val="21"/>
        </w:rPr>
      </w:pPr>
      <w:r w:rsidRPr="00DD744C">
        <w:rPr>
          <w:rFonts w:hAnsi="宋体" w:cs="Arial"/>
          <w:b/>
          <w:bCs/>
          <w:color w:val="000000"/>
          <w:kern w:val="0"/>
          <w:szCs w:val="21"/>
        </w:rPr>
        <w:t>四、严格落实管理责任</w:t>
      </w:r>
      <w:r w:rsidRPr="00DD744C">
        <w:rPr>
          <w:rFonts w:cs="Arial"/>
          <w:b/>
          <w:bCs/>
          <w:color w:val="000000"/>
          <w:kern w:val="0"/>
          <w:szCs w:val="21"/>
        </w:rPr>
        <w:t> </w:t>
      </w:r>
    </w:p>
    <w:p w:rsidR="00FC5128" w:rsidRPr="00DD744C" w:rsidRDefault="00FC5128" w:rsidP="00FC5128">
      <w:pPr>
        <w:snapToGrid w:val="0"/>
        <w:spacing w:line="360" w:lineRule="exact"/>
        <w:ind w:firstLineChars="200" w:firstLine="420"/>
        <w:jc w:val="left"/>
        <w:rPr>
          <w:rFonts w:cs="Arial"/>
          <w:color w:val="000000"/>
          <w:kern w:val="0"/>
          <w:szCs w:val="21"/>
        </w:rPr>
      </w:pPr>
      <w:r w:rsidRPr="00DD744C">
        <w:rPr>
          <w:rFonts w:hAnsi="宋体" w:cs="Arial"/>
          <w:color w:val="000000"/>
          <w:kern w:val="0"/>
          <w:szCs w:val="21"/>
        </w:rPr>
        <w:t>（十二）地方各级财政部门主要负责人要高度重视国库资金管理和财政专户资金管理工作，切实履行好第一责任人的领导职责，发现问题，要及时督促整改，并跟踪问效。</w:t>
      </w:r>
    </w:p>
    <w:p w:rsidR="00FC5128" w:rsidRDefault="00FC5128" w:rsidP="00FC5128">
      <w:pPr>
        <w:snapToGrid w:val="0"/>
        <w:spacing w:line="360" w:lineRule="exact"/>
        <w:ind w:firstLineChars="200" w:firstLine="420"/>
        <w:jc w:val="left"/>
        <w:rPr>
          <w:rFonts w:hAnsi="宋体" w:cs="Arial"/>
          <w:color w:val="000000"/>
          <w:kern w:val="0"/>
          <w:szCs w:val="21"/>
        </w:rPr>
      </w:pPr>
      <w:r w:rsidRPr="00DD744C">
        <w:rPr>
          <w:rFonts w:hAnsi="宋体" w:cs="Arial"/>
          <w:color w:val="000000"/>
          <w:kern w:val="0"/>
          <w:szCs w:val="21"/>
        </w:rPr>
        <w:t>（十三）地方各级财政部门要切实负起对本级国库资金管理和财政专户资金管理责任，上级财政部门要建立起对下级财政部门资金管理工作的定期检查督导和考核机制。</w:t>
      </w:r>
    </w:p>
    <w:p w:rsidR="00FC5128" w:rsidRPr="00DD744C" w:rsidRDefault="00FC5128" w:rsidP="00FC5128">
      <w:pPr>
        <w:snapToGrid w:val="0"/>
        <w:spacing w:line="360" w:lineRule="exact"/>
        <w:ind w:firstLineChars="200" w:firstLine="420"/>
        <w:jc w:val="left"/>
        <w:rPr>
          <w:rFonts w:cs="Arial"/>
          <w:color w:val="000000"/>
          <w:kern w:val="0"/>
          <w:szCs w:val="21"/>
        </w:rPr>
      </w:pPr>
    </w:p>
    <w:p w:rsidR="00FC5128" w:rsidRPr="00DD744C" w:rsidRDefault="00FC5128" w:rsidP="00FC5128">
      <w:pPr>
        <w:snapToGrid w:val="0"/>
        <w:spacing w:line="360" w:lineRule="exact"/>
        <w:ind w:firstLineChars="200" w:firstLine="420"/>
        <w:jc w:val="center"/>
        <w:rPr>
          <w:rFonts w:cs="Arial"/>
          <w:color w:val="000000"/>
          <w:kern w:val="0"/>
          <w:szCs w:val="21"/>
        </w:rPr>
      </w:pPr>
      <w:r w:rsidRPr="00DD744C">
        <w:rPr>
          <w:rFonts w:cs="Arial" w:hint="eastAsia"/>
          <w:color w:val="000000"/>
          <w:kern w:val="0"/>
          <w:szCs w:val="21"/>
        </w:rPr>
        <w:t xml:space="preserve">                                       </w:t>
      </w:r>
      <w:r w:rsidRPr="00DD744C">
        <w:rPr>
          <w:rFonts w:hAnsi="宋体" w:cs="Arial"/>
          <w:color w:val="000000"/>
          <w:kern w:val="0"/>
          <w:szCs w:val="21"/>
        </w:rPr>
        <w:t>财政部</w:t>
      </w:r>
    </w:p>
    <w:p w:rsidR="00FC5128" w:rsidRPr="00D2622B" w:rsidRDefault="00FC5128" w:rsidP="00FC5128">
      <w:pPr>
        <w:snapToGrid w:val="0"/>
        <w:spacing w:line="360" w:lineRule="exact"/>
        <w:ind w:firstLineChars="2850" w:firstLine="5985"/>
        <w:jc w:val="left"/>
        <w:rPr>
          <w:rFonts w:ascii="华文细黑" w:eastAsia="华文细黑" w:hAnsi="华文细黑" w:cs="Arial"/>
          <w:color w:val="000000"/>
          <w:kern w:val="0"/>
          <w:sz w:val="24"/>
        </w:rPr>
        <w:sectPr w:rsidR="00FC5128" w:rsidRPr="00D2622B" w:rsidSect="00DD744C">
          <w:pgSz w:w="11906" w:h="16838" w:code="9"/>
          <w:pgMar w:top="1134" w:right="1588" w:bottom="1134" w:left="1588" w:header="851" w:footer="992" w:gutter="0"/>
          <w:cols w:space="425"/>
          <w:docGrid w:linePitch="303"/>
        </w:sectPr>
      </w:pPr>
      <w:smartTag w:uri="urn:schemas-microsoft-com:office:smarttags" w:element="chsdate">
        <w:smartTagPr>
          <w:attr w:name="Year" w:val="2014"/>
          <w:attr w:name="Month" w:val="10"/>
          <w:attr w:name="Day" w:val="28"/>
          <w:attr w:name="IsLunarDate" w:val="False"/>
          <w:attr w:name="IsROCDate" w:val="False"/>
        </w:smartTagPr>
        <w:r w:rsidRPr="00DD744C">
          <w:rPr>
            <w:rFonts w:cs="Arial"/>
            <w:color w:val="000000"/>
            <w:kern w:val="0"/>
            <w:szCs w:val="21"/>
          </w:rPr>
          <w:t>2014</w:t>
        </w:r>
        <w:r w:rsidRPr="00DD744C">
          <w:rPr>
            <w:rFonts w:hAnsi="宋体" w:cs="Arial"/>
            <w:color w:val="000000"/>
            <w:kern w:val="0"/>
            <w:szCs w:val="21"/>
          </w:rPr>
          <w:t>年</w:t>
        </w:r>
        <w:r w:rsidRPr="00DD744C">
          <w:rPr>
            <w:rFonts w:cs="Arial"/>
            <w:color w:val="000000"/>
            <w:kern w:val="0"/>
            <w:szCs w:val="21"/>
          </w:rPr>
          <w:t>10</w:t>
        </w:r>
        <w:r w:rsidRPr="00DD744C">
          <w:rPr>
            <w:rFonts w:hAnsi="宋体" w:cs="Arial"/>
            <w:color w:val="000000"/>
            <w:kern w:val="0"/>
            <w:szCs w:val="21"/>
          </w:rPr>
          <w:t>月</w:t>
        </w:r>
        <w:r w:rsidRPr="00DD744C">
          <w:rPr>
            <w:rFonts w:cs="Arial"/>
            <w:color w:val="000000"/>
            <w:kern w:val="0"/>
            <w:szCs w:val="21"/>
          </w:rPr>
          <w:t>28</w:t>
        </w:r>
        <w:r w:rsidRPr="00DD744C">
          <w:rPr>
            <w:rFonts w:hAnsi="宋体" w:cs="Arial"/>
            <w:color w:val="000000"/>
            <w:kern w:val="0"/>
            <w:szCs w:val="21"/>
          </w:rPr>
          <w:t>日</w:t>
        </w:r>
      </w:smartTag>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28"/>
    <w:rsid w:val="00166C9A"/>
    <w:rsid w:val="00B8531D"/>
    <w:rsid w:val="00FC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28"/>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C512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C5128"/>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28"/>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C512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C5128"/>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2037</Characters>
  <Application>Microsoft Office Word</Application>
  <DocSecurity>0</DocSecurity>
  <Lines>16</Lines>
  <Paragraphs>4</Paragraphs>
  <ScaleCrop>false</ScaleCrop>
  <Company>china</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2016-11-05T08:53:00Z</dcterms:created>
  <dcterms:modified xsi:type="dcterms:W3CDTF">2016-11-05T08:53:00Z</dcterms:modified>
</cp:coreProperties>
</file>