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2E" w:rsidRPr="00522F43" w:rsidRDefault="008E532E" w:rsidP="008E532E">
      <w:pPr>
        <w:pStyle w:val="2"/>
        <w:spacing w:before="240" w:after="120"/>
      </w:pPr>
      <w:bookmarkStart w:id="0" w:name="_Toc445143119"/>
      <w:bookmarkStart w:id="1" w:name="_Toc445994181"/>
      <w:bookmarkStart w:id="2" w:name="_Toc452477483"/>
      <w:bookmarkStart w:id="3" w:name="_Toc460335672"/>
      <w:bookmarkStart w:id="4" w:name="_GoBack"/>
      <w:bookmarkEnd w:id="4"/>
      <w:r w:rsidRPr="00522F43">
        <w:rPr>
          <w:rStyle w:val="a4"/>
          <w:rFonts w:hint="eastAsia"/>
        </w:rPr>
        <w:t xml:space="preserve"> </w:t>
      </w:r>
      <w:r w:rsidRPr="00522F43">
        <w:rPr>
          <w:rStyle w:val="a4"/>
          <w:rFonts w:hint="eastAsia"/>
        </w:rPr>
        <w:t>财政部关于实行中央级普通高校绩效拨款与项目支出预算执行挂钩办法的通知</w:t>
      </w:r>
      <w:bookmarkEnd w:id="0"/>
      <w:bookmarkEnd w:id="1"/>
      <w:bookmarkEnd w:id="2"/>
      <w:bookmarkEnd w:id="3"/>
    </w:p>
    <w:p w:rsidR="008E532E" w:rsidRPr="00EA091E" w:rsidRDefault="008E532E" w:rsidP="008E532E">
      <w:pPr>
        <w:jc w:val="center"/>
      </w:pPr>
      <w:bookmarkStart w:id="5" w:name="_Toc445994182"/>
      <w:r w:rsidRPr="00EA091E">
        <w:rPr>
          <w:rFonts w:hint="eastAsia"/>
        </w:rPr>
        <w:t>财教（</w:t>
      </w:r>
      <w:r w:rsidRPr="00EA091E">
        <w:rPr>
          <w:rFonts w:hint="eastAsia"/>
        </w:rPr>
        <w:t>2011</w:t>
      </w:r>
      <w:r w:rsidRPr="00EA091E">
        <w:rPr>
          <w:rFonts w:hint="eastAsia"/>
        </w:rPr>
        <w:t>）</w:t>
      </w:r>
      <w:r w:rsidRPr="00EA091E">
        <w:rPr>
          <w:rFonts w:hint="eastAsia"/>
        </w:rPr>
        <w:t>39</w:t>
      </w:r>
      <w:r w:rsidRPr="00EA091E">
        <w:rPr>
          <w:rFonts w:hint="eastAsia"/>
        </w:rPr>
        <w:t>号</w:t>
      </w:r>
      <w:bookmarkEnd w:id="5"/>
    </w:p>
    <w:p w:rsidR="008E532E" w:rsidRDefault="008E532E" w:rsidP="008E532E">
      <w:pPr>
        <w:pStyle w:val="2"/>
        <w:tabs>
          <w:tab w:val="left" w:pos="2581"/>
        </w:tabs>
        <w:spacing w:beforeLines="0" w:afterLines="0" w:line="360" w:lineRule="exact"/>
        <w:jc w:val="both"/>
        <w:rPr>
          <w:rFonts w:eastAsia="宋体" w:hAnsi="Times New Roman"/>
          <w:color w:val="000000"/>
          <w:sz w:val="21"/>
        </w:rPr>
      </w:pPr>
      <w:r>
        <w:rPr>
          <w:rFonts w:eastAsia="宋体" w:hAnsi="Times New Roman"/>
          <w:color w:val="000000"/>
          <w:sz w:val="21"/>
        </w:rPr>
        <w:tab/>
      </w:r>
    </w:p>
    <w:p w:rsidR="008E532E" w:rsidRPr="00EA091E" w:rsidRDefault="008E532E" w:rsidP="008E532E">
      <w:pPr>
        <w:spacing w:line="360" w:lineRule="exact"/>
      </w:pPr>
      <w:bookmarkStart w:id="6" w:name="_Toc445994183"/>
      <w:r w:rsidRPr="00EA091E">
        <w:rPr>
          <w:rFonts w:hint="eastAsia"/>
        </w:rPr>
        <w:t>党中央有关部门，国务院有关部委、有关直属机构，中央部门各直属高等学校：</w:t>
      </w:r>
      <w:bookmarkEnd w:id="6"/>
    </w:p>
    <w:p w:rsidR="008E532E" w:rsidRPr="00EA091E" w:rsidRDefault="008E532E" w:rsidP="008E532E">
      <w:pPr>
        <w:spacing w:line="360" w:lineRule="exact"/>
      </w:pPr>
      <w:r w:rsidRPr="00EA091E">
        <w:rPr>
          <w:rFonts w:hint="eastAsia"/>
        </w:rPr>
        <w:t xml:space="preserve">    </w:t>
      </w:r>
      <w:r w:rsidRPr="00EA091E">
        <w:rPr>
          <w:rFonts w:hint="eastAsia"/>
        </w:rPr>
        <w:t>为加强中央高校预算执行管理工作，加大对关键时点预算执行工作的促进力度，切实提高财政资金使用效益，根据</w:t>
      </w:r>
      <w:proofErr w:type="gramStart"/>
      <w:r w:rsidRPr="00EA091E">
        <w:rPr>
          <w:rFonts w:hint="eastAsia"/>
        </w:rPr>
        <w:t>《</w:t>
      </w:r>
      <w:proofErr w:type="gramEnd"/>
      <w:r w:rsidRPr="00EA091E">
        <w:rPr>
          <w:rFonts w:hint="eastAsia"/>
        </w:rPr>
        <w:t>财政部关于进一步做好预算执行工作的指导意见</w:t>
      </w:r>
      <w:r w:rsidRPr="00EA091E">
        <w:rPr>
          <w:rFonts w:hint="eastAsia"/>
        </w:rPr>
        <w:t>» (</w:t>
      </w:r>
      <w:r w:rsidRPr="00EA091E">
        <w:rPr>
          <w:rFonts w:hint="eastAsia"/>
        </w:rPr>
        <w:t>财预</w:t>
      </w:r>
      <w:r w:rsidRPr="00EA091E">
        <w:rPr>
          <w:rFonts w:hint="eastAsia"/>
        </w:rPr>
        <w:t>[2010]11</w:t>
      </w:r>
      <w:r w:rsidRPr="00EA091E">
        <w:rPr>
          <w:rFonts w:hint="eastAsia"/>
        </w:rPr>
        <w:t>号</w:t>
      </w:r>
      <w:r w:rsidRPr="00EA091E">
        <w:rPr>
          <w:rFonts w:hint="eastAsia"/>
        </w:rPr>
        <w:t>)</w:t>
      </w:r>
      <w:r w:rsidRPr="00EA091E">
        <w:rPr>
          <w:rFonts w:hint="eastAsia"/>
        </w:rPr>
        <w:t>和</w:t>
      </w:r>
      <w:proofErr w:type="gramStart"/>
      <w:r w:rsidRPr="00EA091E">
        <w:rPr>
          <w:rFonts w:hint="eastAsia"/>
        </w:rPr>
        <w:t>《</w:t>
      </w:r>
      <w:proofErr w:type="gramEnd"/>
      <w:r w:rsidRPr="00EA091E">
        <w:rPr>
          <w:rFonts w:hint="eastAsia"/>
        </w:rPr>
        <w:t>中央教科文部门预算执行管理暂行办法</w:t>
      </w:r>
      <w:r w:rsidRPr="00EA091E">
        <w:rPr>
          <w:rFonts w:hint="eastAsia"/>
        </w:rPr>
        <w:t>» (</w:t>
      </w:r>
      <w:proofErr w:type="gramStart"/>
      <w:r w:rsidRPr="00EA091E">
        <w:rPr>
          <w:rFonts w:hint="eastAsia"/>
        </w:rPr>
        <w:t>财教</w:t>
      </w:r>
      <w:proofErr w:type="gramEnd"/>
      <w:r w:rsidRPr="00EA091E">
        <w:rPr>
          <w:rFonts w:hint="eastAsia"/>
        </w:rPr>
        <w:t xml:space="preserve">2009J498 ) </w:t>
      </w:r>
      <w:r w:rsidRPr="00EA091E">
        <w:rPr>
          <w:rFonts w:hint="eastAsia"/>
        </w:rPr>
        <w:t>，结合中央级普通高校实际情况，经研究，中央财政将进一步完善中央级普通高校绩效拨款与项目支出预算执行挂钩的办法。现就有关事项通知如下</w:t>
      </w:r>
      <w:r w:rsidRPr="00EA091E">
        <w:rPr>
          <w:rFonts w:hint="eastAsia"/>
        </w:rPr>
        <w:t xml:space="preserve">: </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一、自</w:t>
      </w:r>
      <w:r w:rsidRPr="00522F43">
        <w:rPr>
          <w:rFonts w:hint="eastAsia"/>
          <w:color w:val="000000"/>
          <w:szCs w:val="21"/>
        </w:rPr>
        <w:t xml:space="preserve">2011 </w:t>
      </w:r>
      <w:r w:rsidRPr="00522F43">
        <w:rPr>
          <w:rFonts w:hAnsi="宋体" w:hint="eastAsia"/>
          <w:color w:val="000000"/>
          <w:szCs w:val="21"/>
        </w:rPr>
        <w:t>年</w:t>
      </w:r>
      <w:r w:rsidRPr="00522F43">
        <w:rPr>
          <w:rFonts w:hint="eastAsia"/>
          <w:color w:val="000000"/>
          <w:szCs w:val="21"/>
        </w:rPr>
        <w:t xml:space="preserve">1 </w:t>
      </w:r>
      <w:r w:rsidRPr="00522F43">
        <w:rPr>
          <w:rFonts w:hAnsi="宋体" w:hint="eastAsia"/>
          <w:color w:val="000000"/>
          <w:szCs w:val="21"/>
        </w:rPr>
        <w:t>月</w:t>
      </w:r>
      <w:r w:rsidRPr="00522F43">
        <w:rPr>
          <w:rFonts w:hint="eastAsia"/>
          <w:color w:val="000000"/>
          <w:szCs w:val="21"/>
        </w:rPr>
        <w:t xml:space="preserve">1 </w:t>
      </w:r>
      <w:r w:rsidRPr="00522F43">
        <w:rPr>
          <w:rFonts w:hAnsi="宋体" w:hint="eastAsia"/>
          <w:color w:val="000000"/>
          <w:szCs w:val="21"/>
        </w:rPr>
        <w:t>日起，为加强预算管理，增强预算执行的时效性和均衡性，中央财政将中央高校项目支出预算执行情况作为绩效拨款的重要因素，实行挂钩奖励办法。本《通知》所称</w:t>
      </w:r>
      <w:r>
        <w:rPr>
          <w:rFonts w:hint="eastAsia"/>
          <w:color w:val="000000"/>
          <w:szCs w:val="21"/>
        </w:rPr>
        <w:t>“</w:t>
      </w:r>
      <w:r w:rsidRPr="00522F43">
        <w:rPr>
          <w:rFonts w:hAnsi="宋体" w:hint="eastAsia"/>
          <w:color w:val="000000"/>
          <w:szCs w:val="21"/>
        </w:rPr>
        <w:t>项目支出</w:t>
      </w:r>
      <w:r>
        <w:rPr>
          <w:rFonts w:hint="eastAsia"/>
          <w:color w:val="000000"/>
          <w:szCs w:val="21"/>
        </w:rPr>
        <w:t>”</w:t>
      </w:r>
      <w:r w:rsidRPr="00522F43">
        <w:rPr>
          <w:rFonts w:hAnsi="宋体" w:hint="eastAsia"/>
          <w:color w:val="000000"/>
          <w:szCs w:val="21"/>
        </w:rPr>
        <w:t>，是指由中央财政当年拨付的纳入部门预算的列</w:t>
      </w:r>
      <w:r>
        <w:rPr>
          <w:rFonts w:hint="eastAsia"/>
          <w:color w:val="000000"/>
          <w:szCs w:val="21"/>
        </w:rPr>
        <w:t>“</w:t>
      </w:r>
      <w:r w:rsidRPr="00522F43">
        <w:rPr>
          <w:rFonts w:hint="eastAsia"/>
          <w:color w:val="000000"/>
          <w:szCs w:val="21"/>
        </w:rPr>
        <w:t>205</w:t>
      </w:r>
      <w:r w:rsidRPr="00522F43">
        <w:rPr>
          <w:rFonts w:hAnsi="宋体" w:hint="eastAsia"/>
          <w:color w:val="000000"/>
          <w:szCs w:val="21"/>
        </w:rPr>
        <w:t>教</w:t>
      </w:r>
      <w:r>
        <w:rPr>
          <w:rFonts w:hint="eastAsia"/>
          <w:color w:val="000000"/>
          <w:szCs w:val="21"/>
        </w:rPr>
        <w:t>”</w:t>
      </w:r>
      <w:r w:rsidRPr="00522F43">
        <w:rPr>
          <w:rFonts w:hAnsi="宋体" w:hint="eastAsia"/>
          <w:color w:val="000000"/>
          <w:szCs w:val="21"/>
        </w:rPr>
        <w:t>科目的所有一般预算财政拨款项目支出。所称</w:t>
      </w:r>
      <w:r>
        <w:rPr>
          <w:rFonts w:hint="eastAsia"/>
          <w:color w:val="000000"/>
          <w:szCs w:val="21"/>
        </w:rPr>
        <w:t>“</w:t>
      </w:r>
      <w:r w:rsidRPr="00522F43">
        <w:rPr>
          <w:rFonts w:hAnsi="宋体" w:hint="eastAsia"/>
          <w:color w:val="000000"/>
          <w:szCs w:val="21"/>
        </w:rPr>
        <w:t>项目支出预算执行率</w:t>
      </w:r>
      <w:r>
        <w:rPr>
          <w:rFonts w:hint="eastAsia"/>
          <w:color w:val="000000"/>
          <w:szCs w:val="21"/>
        </w:rPr>
        <w:t>”</w:t>
      </w:r>
      <w:r w:rsidRPr="00522F43">
        <w:rPr>
          <w:rFonts w:hAnsi="宋体" w:hint="eastAsia"/>
          <w:color w:val="000000"/>
          <w:szCs w:val="21"/>
        </w:rPr>
        <w:t>，是指截至考核时间点</w:t>
      </w:r>
      <w:r>
        <w:rPr>
          <w:rFonts w:hint="eastAsia"/>
          <w:color w:val="000000"/>
          <w:szCs w:val="21"/>
        </w:rPr>
        <w:t>“</w:t>
      </w:r>
      <w:r w:rsidRPr="00522F43">
        <w:rPr>
          <w:rFonts w:hAnsi="宋体" w:hint="eastAsia"/>
          <w:color w:val="000000"/>
          <w:szCs w:val="21"/>
        </w:rPr>
        <w:t>项目支出</w:t>
      </w:r>
      <w:r>
        <w:rPr>
          <w:rFonts w:hint="eastAsia"/>
          <w:color w:val="000000"/>
          <w:szCs w:val="21"/>
        </w:rPr>
        <w:t>”</w:t>
      </w:r>
      <w:r w:rsidRPr="00522F43">
        <w:rPr>
          <w:rFonts w:hAnsi="宋体" w:hint="eastAsia"/>
          <w:color w:val="000000"/>
          <w:szCs w:val="21"/>
        </w:rPr>
        <w:t>实际支出数占</w:t>
      </w:r>
      <w:r>
        <w:rPr>
          <w:rFonts w:hint="eastAsia"/>
          <w:color w:val="000000"/>
          <w:szCs w:val="21"/>
        </w:rPr>
        <w:t>“</w:t>
      </w:r>
      <w:r w:rsidRPr="00522F43">
        <w:rPr>
          <w:rFonts w:hAnsi="宋体" w:hint="eastAsia"/>
          <w:color w:val="000000"/>
          <w:szCs w:val="21"/>
        </w:rPr>
        <w:t>项目支出</w:t>
      </w:r>
      <w:r>
        <w:rPr>
          <w:rFonts w:hint="eastAsia"/>
          <w:color w:val="000000"/>
          <w:szCs w:val="21"/>
        </w:rPr>
        <w:t>”</w:t>
      </w:r>
      <w:r w:rsidRPr="00522F43">
        <w:rPr>
          <w:rFonts w:hAnsi="宋体" w:hint="eastAsia"/>
          <w:color w:val="000000"/>
          <w:szCs w:val="21"/>
        </w:rPr>
        <w:t>已下达预算指标数的比率，用百分比表示。其中，</w:t>
      </w:r>
      <w:r>
        <w:rPr>
          <w:rFonts w:hint="eastAsia"/>
          <w:color w:val="000000"/>
          <w:szCs w:val="21"/>
        </w:rPr>
        <w:t>“</w:t>
      </w:r>
      <w:r w:rsidRPr="00522F43">
        <w:rPr>
          <w:rFonts w:hAnsi="宋体" w:hint="eastAsia"/>
          <w:color w:val="000000"/>
          <w:szCs w:val="21"/>
        </w:rPr>
        <w:t>项目支出</w:t>
      </w:r>
      <w:r>
        <w:rPr>
          <w:rFonts w:hint="eastAsia"/>
          <w:color w:val="000000"/>
          <w:szCs w:val="21"/>
        </w:rPr>
        <w:t>”</w:t>
      </w:r>
      <w:r w:rsidRPr="00522F43">
        <w:rPr>
          <w:rFonts w:hAnsi="宋体" w:hint="eastAsia"/>
          <w:color w:val="000000"/>
          <w:szCs w:val="21"/>
        </w:rPr>
        <w:t>实际支出数和</w:t>
      </w:r>
      <w:r>
        <w:rPr>
          <w:rFonts w:hint="eastAsia"/>
          <w:color w:val="000000"/>
          <w:szCs w:val="21"/>
        </w:rPr>
        <w:t>“</w:t>
      </w:r>
      <w:r w:rsidRPr="00522F43">
        <w:rPr>
          <w:rFonts w:hAnsi="宋体" w:hint="eastAsia"/>
          <w:color w:val="000000"/>
          <w:szCs w:val="21"/>
        </w:rPr>
        <w:t>项目支出</w:t>
      </w:r>
      <w:r>
        <w:rPr>
          <w:rFonts w:hint="eastAsia"/>
          <w:color w:val="000000"/>
          <w:szCs w:val="21"/>
        </w:rPr>
        <w:t>”</w:t>
      </w:r>
      <w:r w:rsidRPr="00522F43">
        <w:rPr>
          <w:rFonts w:hAnsi="宋体" w:hint="eastAsia"/>
          <w:color w:val="000000"/>
          <w:szCs w:val="21"/>
        </w:rPr>
        <w:t>已下达预算指标数以财政部国库司提供的数据为准。</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二、中央高校预算执行绩效奖励采取分段叠加的办法。具体如下</w:t>
      </w:r>
      <w:r w:rsidRPr="00522F43">
        <w:rPr>
          <w:rFonts w:hint="eastAsia"/>
          <w:color w:val="000000"/>
          <w:szCs w:val="21"/>
        </w:rPr>
        <w:t>:</w:t>
      </w:r>
      <w:r w:rsidRPr="00522F43">
        <w:rPr>
          <w:rFonts w:hAnsi="宋体" w:hint="eastAsia"/>
          <w:color w:val="000000"/>
          <w:szCs w:val="21"/>
        </w:rPr>
        <w:t>截至每年</w:t>
      </w:r>
      <w:r w:rsidRPr="00522F43">
        <w:rPr>
          <w:rFonts w:hint="eastAsia"/>
          <w:color w:val="000000"/>
          <w:szCs w:val="21"/>
        </w:rPr>
        <w:t xml:space="preserve">6 </w:t>
      </w:r>
      <w:r w:rsidRPr="00522F43">
        <w:rPr>
          <w:rFonts w:hAnsi="宋体" w:hint="eastAsia"/>
          <w:color w:val="000000"/>
          <w:szCs w:val="21"/>
        </w:rPr>
        <w:t>月</w:t>
      </w:r>
      <w:r w:rsidRPr="00522F43">
        <w:rPr>
          <w:rFonts w:hint="eastAsia"/>
          <w:color w:val="000000"/>
          <w:szCs w:val="21"/>
        </w:rPr>
        <w:t xml:space="preserve">30 </w:t>
      </w:r>
      <w:proofErr w:type="gramStart"/>
      <w:r w:rsidRPr="00522F43">
        <w:rPr>
          <w:rFonts w:hAnsi="宋体" w:hint="eastAsia"/>
          <w:color w:val="000000"/>
          <w:szCs w:val="21"/>
        </w:rPr>
        <w:t>日项目</w:t>
      </w:r>
      <w:proofErr w:type="gramEnd"/>
      <w:r w:rsidRPr="00522F43">
        <w:rPr>
          <w:rFonts w:hAnsi="宋体" w:hint="eastAsia"/>
          <w:color w:val="000000"/>
          <w:szCs w:val="21"/>
        </w:rPr>
        <w:t>支出预算执行率不低于</w:t>
      </w:r>
      <w:r w:rsidRPr="00522F43">
        <w:rPr>
          <w:rFonts w:hint="eastAsia"/>
          <w:color w:val="000000"/>
          <w:szCs w:val="21"/>
        </w:rPr>
        <w:t xml:space="preserve">50% </w:t>
      </w:r>
      <w:r w:rsidRPr="00522F43">
        <w:rPr>
          <w:rFonts w:hAnsi="宋体" w:hint="eastAsia"/>
          <w:color w:val="000000"/>
          <w:szCs w:val="21"/>
        </w:rPr>
        <w:t>的中央高校，</w:t>
      </w:r>
      <w:r w:rsidRPr="00522F43">
        <w:rPr>
          <w:rFonts w:hint="eastAsia"/>
          <w:color w:val="000000"/>
          <w:szCs w:val="21"/>
        </w:rPr>
        <w:t xml:space="preserve"> </w:t>
      </w:r>
      <w:r w:rsidRPr="00522F43">
        <w:rPr>
          <w:rFonts w:hAnsi="宋体" w:hint="eastAsia"/>
          <w:color w:val="000000"/>
          <w:szCs w:val="21"/>
        </w:rPr>
        <w:t>获得预算执行绩效奖励额度的</w:t>
      </w:r>
      <w:r w:rsidRPr="00522F43">
        <w:rPr>
          <w:rFonts w:hint="eastAsia"/>
          <w:color w:val="000000"/>
          <w:szCs w:val="21"/>
        </w:rPr>
        <w:t xml:space="preserve">20%; </w:t>
      </w:r>
      <w:r w:rsidRPr="00522F43">
        <w:rPr>
          <w:rFonts w:hAnsi="宋体" w:hint="eastAsia"/>
          <w:color w:val="000000"/>
          <w:szCs w:val="21"/>
        </w:rPr>
        <w:t>截至每年</w:t>
      </w:r>
      <w:r w:rsidRPr="00522F43">
        <w:rPr>
          <w:rFonts w:hint="eastAsia"/>
          <w:color w:val="000000"/>
          <w:szCs w:val="21"/>
        </w:rPr>
        <w:t xml:space="preserve">9 </w:t>
      </w:r>
      <w:r w:rsidRPr="00522F43">
        <w:rPr>
          <w:rFonts w:hAnsi="宋体" w:hint="eastAsia"/>
          <w:color w:val="000000"/>
          <w:szCs w:val="21"/>
        </w:rPr>
        <w:t>月</w:t>
      </w:r>
      <w:r w:rsidRPr="00522F43">
        <w:rPr>
          <w:rFonts w:hint="eastAsia"/>
          <w:color w:val="000000"/>
          <w:szCs w:val="21"/>
        </w:rPr>
        <w:t xml:space="preserve">30 </w:t>
      </w:r>
      <w:proofErr w:type="gramStart"/>
      <w:r w:rsidRPr="00522F43">
        <w:rPr>
          <w:rFonts w:hAnsi="宋体" w:hint="eastAsia"/>
          <w:color w:val="000000"/>
          <w:szCs w:val="21"/>
        </w:rPr>
        <w:t>日项目</w:t>
      </w:r>
      <w:proofErr w:type="gramEnd"/>
      <w:r w:rsidRPr="00522F43">
        <w:rPr>
          <w:rFonts w:hAnsi="宋体" w:hint="eastAsia"/>
          <w:color w:val="000000"/>
          <w:szCs w:val="21"/>
        </w:rPr>
        <w:t>支出预算执行率不低于</w:t>
      </w:r>
      <w:r w:rsidRPr="00522F43">
        <w:rPr>
          <w:rFonts w:hint="eastAsia"/>
          <w:color w:val="000000"/>
          <w:szCs w:val="21"/>
        </w:rPr>
        <w:t xml:space="preserve">75% </w:t>
      </w:r>
      <w:r w:rsidRPr="00522F43">
        <w:rPr>
          <w:rFonts w:hAnsi="宋体" w:hint="eastAsia"/>
          <w:color w:val="000000"/>
          <w:szCs w:val="21"/>
        </w:rPr>
        <w:t>的中央高校，获得预算执行绩效奖励额度的</w:t>
      </w:r>
      <w:r w:rsidRPr="00522F43">
        <w:rPr>
          <w:rFonts w:hint="eastAsia"/>
          <w:color w:val="000000"/>
          <w:szCs w:val="21"/>
        </w:rPr>
        <w:t>30%</w:t>
      </w:r>
      <w:r>
        <w:rPr>
          <w:rFonts w:hint="eastAsia"/>
          <w:color w:val="000000"/>
          <w:szCs w:val="21"/>
        </w:rPr>
        <w:t>；</w:t>
      </w:r>
      <w:r w:rsidRPr="00522F43">
        <w:rPr>
          <w:rFonts w:hAnsi="宋体" w:hint="eastAsia"/>
          <w:color w:val="000000"/>
          <w:szCs w:val="21"/>
        </w:rPr>
        <w:t>截至每年</w:t>
      </w:r>
      <w:r w:rsidRPr="00522F43">
        <w:rPr>
          <w:rFonts w:hint="eastAsia"/>
          <w:color w:val="000000"/>
          <w:szCs w:val="21"/>
        </w:rPr>
        <w:t xml:space="preserve">12 </w:t>
      </w:r>
      <w:r w:rsidRPr="00522F43">
        <w:rPr>
          <w:rFonts w:hAnsi="宋体" w:hint="eastAsia"/>
          <w:color w:val="000000"/>
          <w:szCs w:val="21"/>
        </w:rPr>
        <w:t>月</w:t>
      </w:r>
      <w:r w:rsidRPr="00522F43">
        <w:rPr>
          <w:rFonts w:hint="eastAsia"/>
          <w:color w:val="000000"/>
          <w:szCs w:val="21"/>
        </w:rPr>
        <w:t xml:space="preserve">31 </w:t>
      </w:r>
      <w:r w:rsidRPr="00522F43">
        <w:rPr>
          <w:rFonts w:hAnsi="宋体" w:hint="eastAsia"/>
          <w:color w:val="000000"/>
          <w:szCs w:val="21"/>
        </w:rPr>
        <w:t>日，项目支出预算执行率不低于中央本级预算执行平均水平的中央高校，获得预算执行绩效奖励额度的</w:t>
      </w:r>
      <w:r w:rsidRPr="00522F43">
        <w:rPr>
          <w:rFonts w:hint="eastAsia"/>
          <w:color w:val="000000"/>
          <w:szCs w:val="21"/>
        </w:rPr>
        <w:t>50%</w:t>
      </w:r>
      <w:r w:rsidRPr="00522F43">
        <w:rPr>
          <w:rFonts w:hAnsi="宋体" w:hint="eastAsia"/>
          <w:color w:val="000000"/>
          <w:szCs w:val="21"/>
        </w:rPr>
        <w:t>。</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三、截至每年</w:t>
      </w:r>
      <w:r w:rsidRPr="00522F43">
        <w:rPr>
          <w:rFonts w:hint="eastAsia"/>
          <w:color w:val="000000"/>
          <w:szCs w:val="21"/>
        </w:rPr>
        <w:t xml:space="preserve">12 </w:t>
      </w:r>
      <w:r w:rsidRPr="00522F43">
        <w:rPr>
          <w:rFonts w:hAnsi="宋体" w:hint="eastAsia"/>
          <w:color w:val="000000"/>
          <w:szCs w:val="21"/>
        </w:rPr>
        <w:t>月</w:t>
      </w:r>
      <w:r w:rsidRPr="00522F43">
        <w:rPr>
          <w:rFonts w:hint="eastAsia"/>
          <w:color w:val="000000"/>
          <w:szCs w:val="21"/>
        </w:rPr>
        <w:t xml:space="preserve">31 </w:t>
      </w:r>
      <w:r w:rsidRPr="00522F43">
        <w:rPr>
          <w:rFonts w:hAnsi="宋体" w:hint="eastAsia"/>
          <w:color w:val="000000"/>
          <w:szCs w:val="21"/>
        </w:rPr>
        <w:t>日，项目支出预算执行率低于中央本级预算执行平均水平</w:t>
      </w:r>
      <w:r w:rsidRPr="00522F43">
        <w:rPr>
          <w:rFonts w:hint="eastAsia"/>
          <w:color w:val="000000"/>
          <w:szCs w:val="21"/>
        </w:rPr>
        <w:t>3</w:t>
      </w:r>
      <w:r w:rsidRPr="00522F43">
        <w:rPr>
          <w:rFonts w:hAnsi="宋体" w:hint="eastAsia"/>
          <w:color w:val="000000"/>
          <w:szCs w:val="21"/>
        </w:rPr>
        <w:t>个百分点的中央高校，取消当年预算执行绩效全部奖励资格。</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四、预算执行绩效奖励资金于次年</w:t>
      </w:r>
      <w:r w:rsidRPr="00522F43">
        <w:rPr>
          <w:rFonts w:hint="eastAsia"/>
          <w:color w:val="000000"/>
          <w:szCs w:val="21"/>
        </w:rPr>
        <w:t xml:space="preserve">4 </w:t>
      </w:r>
      <w:r w:rsidRPr="00522F43">
        <w:rPr>
          <w:rFonts w:hAnsi="宋体" w:hint="eastAsia"/>
          <w:color w:val="000000"/>
          <w:szCs w:val="21"/>
        </w:rPr>
        <w:t>月一次性下达</w:t>
      </w:r>
      <w:r w:rsidRPr="00522F43">
        <w:rPr>
          <w:rFonts w:hint="eastAsia"/>
          <w:color w:val="000000"/>
          <w:szCs w:val="21"/>
        </w:rPr>
        <w:t>.</w:t>
      </w:r>
      <w:r w:rsidRPr="00522F43">
        <w:rPr>
          <w:rFonts w:hAnsi="宋体" w:hint="eastAsia"/>
          <w:color w:val="000000"/>
          <w:szCs w:val="21"/>
        </w:rPr>
        <w:t>预算执行绩效奖励额度不高于该校当年项目支出规模，具体额度将结合财力情况和高校的项目支出资金规模另行确定。</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五、每年度预算执行绩效奖励资金与项目支出预算执行情况挂钩的结果将通报各中央有关部门和中央高校。</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六、截至每年</w:t>
      </w:r>
      <w:r w:rsidRPr="00522F43">
        <w:rPr>
          <w:rFonts w:hint="eastAsia"/>
          <w:color w:val="000000"/>
          <w:szCs w:val="21"/>
        </w:rPr>
        <w:t xml:space="preserve">9 </w:t>
      </w:r>
      <w:r w:rsidRPr="00522F43">
        <w:rPr>
          <w:rFonts w:hAnsi="宋体" w:hint="eastAsia"/>
          <w:color w:val="000000"/>
          <w:szCs w:val="21"/>
        </w:rPr>
        <w:t>月</w:t>
      </w:r>
      <w:r w:rsidRPr="00522F43">
        <w:rPr>
          <w:rFonts w:hint="eastAsia"/>
          <w:color w:val="000000"/>
          <w:szCs w:val="21"/>
        </w:rPr>
        <w:t xml:space="preserve">30 </w:t>
      </w:r>
      <w:r w:rsidRPr="00522F43">
        <w:rPr>
          <w:rFonts w:hAnsi="宋体" w:hint="eastAsia"/>
          <w:color w:val="000000"/>
          <w:szCs w:val="21"/>
        </w:rPr>
        <w:t>目的项目支出预算执行率将作为下一年度安排</w:t>
      </w:r>
      <w:r w:rsidRPr="00522F43">
        <w:rPr>
          <w:rFonts w:hint="eastAsia"/>
          <w:color w:val="000000"/>
          <w:szCs w:val="21"/>
        </w:rPr>
        <w:t>"</w:t>
      </w:r>
      <w:r w:rsidRPr="00522F43">
        <w:rPr>
          <w:rFonts w:hAnsi="宋体" w:hint="eastAsia"/>
          <w:color w:val="000000"/>
          <w:szCs w:val="21"/>
        </w:rPr>
        <w:t>中央级普通高校修购专项</w:t>
      </w:r>
      <w:r w:rsidRPr="00522F43">
        <w:rPr>
          <w:rFonts w:hint="eastAsia"/>
          <w:color w:val="000000"/>
          <w:szCs w:val="21"/>
        </w:rPr>
        <w:t>"</w:t>
      </w:r>
      <w:r w:rsidRPr="00522F43">
        <w:rPr>
          <w:rFonts w:hAnsi="宋体" w:hint="eastAsia"/>
          <w:color w:val="000000"/>
          <w:szCs w:val="21"/>
        </w:rPr>
        <w:t>中央级普通高校基本科研业务费</w:t>
      </w:r>
      <w:r w:rsidRPr="00522F43">
        <w:rPr>
          <w:rFonts w:hint="eastAsia"/>
          <w:color w:val="000000"/>
          <w:szCs w:val="21"/>
        </w:rPr>
        <w:t>"</w:t>
      </w:r>
      <w:r w:rsidRPr="00522F43">
        <w:rPr>
          <w:rFonts w:hAnsi="宋体" w:hint="eastAsia"/>
          <w:color w:val="000000"/>
          <w:szCs w:val="21"/>
        </w:rPr>
        <w:t>等项目预算的重要依据。</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七、预算执行绩效奖励资金应主要用于学校发展，优先用于加强财务管理基础和基层建设、提高财务管理信息化水平等方面，不得用于发放人员工资、奖金、津补贴和福利支出，不得支付罚款、捐赠、赞助、投资等。</w:t>
      </w:r>
    </w:p>
    <w:p w:rsidR="008E532E" w:rsidRPr="00522F43" w:rsidRDefault="008E532E" w:rsidP="008E532E">
      <w:pPr>
        <w:snapToGrid w:val="0"/>
        <w:spacing w:line="360" w:lineRule="exact"/>
        <w:ind w:firstLineChars="200" w:firstLine="420"/>
        <w:rPr>
          <w:color w:val="000000"/>
          <w:szCs w:val="21"/>
        </w:rPr>
      </w:pPr>
      <w:r w:rsidRPr="00522F43">
        <w:rPr>
          <w:rFonts w:hAnsi="宋体" w:hint="eastAsia"/>
          <w:color w:val="000000"/>
          <w:szCs w:val="21"/>
        </w:rPr>
        <w:t>八、各中央有关部门和中央高校要进一步提高对预算执行工作重要性的认识，建立健全预算执行责任制度，狠抓重点项目的预算执行。各中央有关部门可参照本通知制定实施细则</w:t>
      </w:r>
      <w:r w:rsidRPr="00522F43">
        <w:rPr>
          <w:rFonts w:hint="eastAsia"/>
          <w:color w:val="000000"/>
          <w:szCs w:val="21"/>
        </w:rPr>
        <w:t>;</w:t>
      </w:r>
      <w:r w:rsidRPr="00522F43">
        <w:rPr>
          <w:rFonts w:hAnsi="宋体" w:hint="eastAsia"/>
          <w:color w:val="000000"/>
          <w:szCs w:val="21"/>
        </w:rPr>
        <w:t>各中央高校可结合本校实际，制定内部绩效考核办法，将预算执行责任落实到岗、任务落实到人，完善内部约束和激励机制。</w:t>
      </w:r>
    </w:p>
    <w:p w:rsidR="008E532E" w:rsidRPr="00522F43" w:rsidRDefault="008E532E" w:rsidP="008E532E">
      <w:pPr>
        <w:snapToGrid w:val="0"/>
        <w:spacing w:line="360" w:lineRule="exact"/>
        <w:ind w:firstLineChars="200" w:firstLine="420"/>
        <w:rPr>
          <w:b/>
          <w:bCs/>
          <w:color w:val="000000"/>
          <w:szCs w:val="21"/>
        </w:rPr>
      </w:pPr>
      <w:r w:rsidRPr="00522F43">
        <w:rPr>
          <w:rFonts w:hAnsi="宋体" w:hint="eastAsia"/>
          <w:color w:val="000000"/>
          <w:szCs w:val="21"/>
        </w:rPr>
        <w:t>九、各中央有关部门和中央高校要坚持加快预算执行进度和提高财政资金使用的安全性、规</w:t>
      </w:r>
      <w:r w:rsidRPr="00522F43">
        <w:rPr>
          <w:rFonts w:hAnsi="宋体" w:hint="eastAsia"/>
          <w:color w:val="000000"/>
          <w:szCs w:val="21"/>
        </w:rPr>
        <w:lastRenderedPageBreak/>
        <w:t>范性、有效性相统一的原则，坚决杜绝违法违规、不讲效益、</w:t>
      </w:r>
      <w:r>
        <w:rPr>
          <w:rFonts w:hint="eastAsia"/>
          <w:color w:val="000000"/>
          <w:szCs w:val="21"/>
        </w:rPr>
        <w:t>“</w:t>
      </w:r>
      <w:r w:rsidRPr="00522F43">
        <w:rPr>
          <w:rFonts w:hAnsi="宋体" w:hint="eastAsia"/>
          <w:color w:val="000000"/>
          <w:szCs w:val="21"/>
        </w:rPr>
        <w:t>突击花钱</w:t>
      </w:r>
      <w:r>
        <w:rPr>
          <w:rFonts w:hint="eastAsia"/>
          <w:color w:val="000000"/>
          <w:szCs w:val="21"/>
        </w:rPr>
        <w:t>”</w:t>
      </w:r>
      <w:r w:rsidRPr="00522F43">
        <w:rPr>
          <w:rFonts w:hAnsi="宋体" w:hint="eastAsia"/>
          <w:color w:val="000000"/>
          <w:szCs w:val="21"/>
        </w:rPr>
        <w:t>等行为发生。</w:t>
      </w:r>
      <w:r w:rsidRPr="00522F43">
        <w:rPr>
          <w:rFonts w:hint="eastAsia"/>
          <w:color w:val="000000"/>
          <w:szCs w:val="21"/>
        </w:rPr>
        <w:t xml:space="preserve"> </w:t>
      </w:r>
      <w:r w:rsidRPr="00522F43">
        <w:rPr>
          <w:rFonts w:hint="eastAsia"/>
          <w:color w:val="000000"/>
          <w:szCs w:val="21"/>
        </w:rPr>
        <w:cr/>
      </w:r>
      <w:r w:rsidRPr="00522F43">
        <w:rPr>
          <w:rFonts w:hint="eastAsia"/>
          <w:color w:val="000000"/>
          <w:szCs w:val="21"/>
        </w:rPr>
        <w:cr/>
      </w:r>
      <w:r>
        <w:rPr>
          <w:rFonts w:hint="eastAsia"/>
          <w:color w:val="000000"/>
          <w:szCs w:val="21"/>
        </w:rPr>
        <w:t xml:space="preserve">                                                                   </w:t>
      </w:r>
      <w:r w:rsidRPr="00522F43">
        <w:rPr>
          <w:rFonts w:hAnsi="宋体"/>
          <w:b/>
          <w:bCs/>
          <w:color w:val="000000"/>
          <w:szCs w:val="21"/>
        </w:rPr>
        <w:t>财政部</w:t>
      </w:r>
      <w:r w:rsidRPr="00522F43">
        <w:rPr>
          <w:b/>
          <w:bCs/>
          <w:color w:val="000000"/>
          <w:szCs w:val="21"/>
        </w:rPr>
        <w:t xml:space="preserve"> </w:t>
      </w:r>
      <w:r w:rsidRPr="00522F43">
        <w:rPr>
          <w:rFonts w:hAnsi="宋体"/>
          <w:b/>
          <w:bCs/>
          <w:color w:val="000000"/>
          <w:szCs w:val="21"/>
        </w:rPr>
        <w:t>教育部</w:t>
      </w:r>
    </w:p>
    <w:p w:rsidR="008E532E" w:rsidRPr="00D2622B" w:rsidRDefault="008E532E" w:rsidP="008E532E">
      <w:pPr>
        <w:pStyle w:val="a3"/>
        <w:widowControl w:val="0"/>
        <w:snapToGrid w:val="0"/>
        <w:spacing w:before="0" w:beforeAutospacing="0" w:after="0" w:afterAutospacing="0" w:line="360" w:lineRule="auto"/>
        <w:ind w:firstLineChars="1268" w:firstLine="3046"/>
        <w:jc w:val="center"/>
        <w:rPr>
          <w:rFonts w:ascii="华文细黑" w:eastAsia="华文细黑" w:hAnsi="华文细黑"/>
          <w:b/>
          <w:bCs/>
          <w:color w:val="000000"/>
        </w:rPr>
      </w:pPr>
    </w:p>
    <w:p w:rsidR="008E532E" w:rsidRPr="00D2622B" w:rsidRDefault="008E532E" w:rsidP="008E532E">
      <w:pPr>
        <w:pStyle w:val="a3"/>
        <w:widowControl w:val="0"/>
        <w:snapToGrid w:val="0"/>
        <w:spacing w:before="0" w:beforeAutospacing="0" w:after="0" w:afterAutospacing="0" w:line="360" w:lineRule="auto"/>
        <w:ind w:firstLineChars="1268" w:firstLine="3046"/>
        <w:jc w:val="center"/>
        <w:rPr>
          <w:rFonts w:ascii="华文细黑" w:eastAsia="华文细黑" w:hAnsi="华文细黑"/>
          <w:b/>
          <w:bCs/>
          <w:color w:val="000000"/>
        </w:rPr>
      </w:pPr>
    </w:p>
    <w:p w:rsidR="008E532E" w:rsidRPr="00D2622B" w:rsidRDefault="008E532E" w:rsidP="008E532E">
      <w:pPr>
        <w:pStyle w:val="a3"/>
        <w:widowControl w:val="0"/>
        <w:snapToGrid w:val="0"/>
        <w:spacing w:before="0" w:beforeAutospacing="0" w:after="0" w:afterAutospacing="0" w:line="360" w:lineRule="auto"/>
        <w:jc w:val="center"/>
        <w:rPr>
          <w:color w:val="000000"/>
        </w:rPr>
        <w:sectPr w:rsidR="008E532E" w:rsidRPr="00D2622B" w:rsidSect="00522F43">
          <w:pgSz w:w="11906" w:h="16838" w:code="9"/>
          <w:pgMar w:top="1134" w:right="1588" w:bottom="1134" w:left="1588" w:header="851" w:footer="992" w:gutter="0"/>
          <w:cols w:space="425"/>
          <w:docGrid w:linePitch="303"/>
        </w:sectPr>
      </w:pP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2E"/>
    <w:rsid w:val="00166C9A"/>
    <w:rsid w:val="008E532E"/>
    <w:rsid w:val="00B1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2E"/>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E532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E532E"/>
    <w:rPr>
      <w:rFonts w:ascii="Times New Roman" w:eastAsia="方正小标宋简体" w:hAnsi="宋体" w:cs="Times New Roman"/>
      <w:noProof/>
      <w:sz w:val="32"/>
      <w:szCs w:val="21"/>
    </w:rPr>
  </w:style>
  <w:style w:type="paragraph" w:styleId="a3">
    <w:name w:val="Normal (Web)"/>
    <w:basedOn w:val="a"/>
    <w:rsid w:val="008E532E"/>
    <w:pPr>
      <w:widowControl/>
      <w:spacing w:before="100" w:beforeAutospacing="1" w:after="100" w:afterAutospacing="1"/>
      <w:jc w:val="left"/>
    </w:pPr>
    <w:rPr>
      <w:rFonts w:ascii="宋体" w:hAnsi="宋体"/>
      <w:kern w:val="0"/>
      <w:sz w:val="24"/>
    </w:rPr>
  </w:style>
  <w:style w:type="character" w:styleId="a4">
    <w:name w:val="Strong"/>
    <w:basedOn w:val="a0"/>
    <w:qFormat/>
    <w:rsid w:val="008E53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32E"/>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8E532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8E532E"/>
    <w:rPr>
      <w:rFonts w:ascii="Times New Roman" w:eastAsia="方正小标宋简体" w:hAnsi="宋体" w:cs="Times New Roman"/>
      <w:noProof/>
      <w:sz w:val="32"/>
      <w:szCs w:val="21"/>
    </w:rPr>
  </w:style>
  <w:style w:type="paragraph" w:styleId="a3">
    <w:name w:val="Normal (Web)"/>
    <w:basedOn w:val="a"/>
    <w:rsid w:val="008E532E"/>
    <w:pPr>
      <w:widowControl/>
      <w:spacing w:before="100" w:beforeAutospacing="1" w:after="100" w:afterAutospacing="1"/>
      <w:jc w:val="left"/>
    </w:pPr>
    <w:rPr>
      <w:rFonts w:ascii="宋体" w:hAnsi="宋体"/>
      <w:kern w:val="0"/>
      <w:sz w:val="24"/>
    </w:rPr>
  </w:style>
  <w:style w:type="character" w:styleId="a4">
    <w:name w:val="Strong"/>
    <w:basedOn w:val="a0"/>
    <w:qFormat/>
    <w:rsid w:val="008E5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1167</Characters>
  <Application>Microsoft Office Word</Application>
  <DocSecurity>0</DocSecurity>
  <Lines>9</Lines>
  <Paragraphs>2</Paragraphs>
  <ScaleCrop>false</ScaleCrop>
  <Company>china</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2016-11-05T08:58:00Z</dcterms:created>
  <dcterms:modified xsi:type="dcterms:W3CDTF">2016-11-05T08:58:00Z</dcterms:modified>
</cp:coreProperties>
</file>