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F9" w:rsidRPr="00DD744C" w:rsidRDefault="00E809F9" w:rsidP="00E809F9">
      <w:pPr>
        <w:pStyle w:val="2"/>
        <w:spacing w:before="312" w:after="156"/>
      </w:pPr>
      <w:bookmarkStart w:id="0" w:name="_Toc445143117"/>
      <w:bookmarkStart w:id="1" w:name="_Toc445994179"/>
      <w:bookmarkStart w:id="2" w:name="_Toc452477481"/>
      <w:bookmarkStart w:id="3" w:name="_Toc460335670"/>
      <w:bookmarkStart w:id="4" w:name="_GoBack"/>
      <w:bookmarkEnd w:id="4"/>
      <w:r w:rsidRPr="00DD744C">
        <w:rPr>
          <w:rFonts w:hint="eastAsia"/>
        </w:rPr>
        <w:t xml:space="preserve"> </w:t>
      </w:r>
      <w:r w:rsidRPr="00DD744C">
        <w:rPr>
          <w:rFonts w:hint="eastAsia"/>
        </w:rPr>
        <w:t>关于中央预算单位</w:t>
      </w:r>
      <w:r w:rsidRPr="00DD744C">
        <w:rPr>
          <w:rFonts w:hint="eastAsia"/>
        </w:rPr>
        <w:t>2012</w:t>
      </w:r>
      <w:r w:rsidRPr="00DD744C">
        <w:rPr>
          <w:rFonts w:hint="eastAsia"/>
        </w:rPr>
        <w:t>年深化国库集中支付制度改革若干问题的通知</w:t>
      </w:r>
      <w:bookmarkEnd w:id="0"/>
      <w:bookmarkEnd w:id="1"/>
      <w:bookmarkEnd w:id="2"/>
      <w:bookmarkEnd w:id="3"/>
    </w:p>
    <w:p w:rsidR="00E809F9" w:rsidRPr="00DD744C" w:rsidRDefault="00E809F9" w:rsidP="00E809F9">
      <w:pPr>
        <w:snapToGrid w:val="0"/>
        <w:spacing w:line="360" w:lineRule="exact"/>
        <w:jc w:val="center"/>
        <w:rPr>
          <w:rFonts w:cs="Arial"/>
          <w:color w:val="000000"/>
          <w:kern w:val="0"/>
          <w:szCs w:val="21"/>
        </w:rPr>
      </w:pPr>
      <w:r w:rsidRPr="00DD744C">
        <w:rPr>
          <w:rFonts w:hAnsi="宋体" w:cs="Arial"/>
          <w:color w:val="000000"/>
          <w:kern w:val="0"/>
          <w:szCs w:val="21"/>
        </w:rPr>
        <w:t>财库</w:t>
      </w:r>
      <w:r w:rsidRPr="00DD744C">
        <w:rPr>
          <w:rFonts w:cs="Arial"/>
          <w:color w:val="000000"/>
          <w:kern w:val="0"/>
          <w:szCs w:val="21"/>
        </w:rPr>
        <w:t>[2011]163</w:t>
      </w:r>
      <w:r w:rsidRPr="00DD744C">
        <w:rPr>
          <w:rFonts w:hAnsi="宋体" w:cs="Arial"/>
          <w:color w:val="000000"/>
          <w:kern w:val="0"/>
          <w:szCs w:val="21"/>
        </w:rPr>
        <w:t>号</w:t>
      </w:r>
    </w:p>
    <w:p w:rsidR="00E809F9" w:rsidRPr="00DD744C" w:rsidRDefault="00E809F9" w:rsidP="00E809F9">
      <w:pPr>
        <w:snapToGrid w:val="0"/>
        <w:spacing w:line="360" w:lineRule="exact"/>
        <w:jc w:val="center"/>
        <w:rPr>
          <w:rFonts w:cs="Arial"/>
          <w:color w:val="000000"/>
          <w:kern w:val="0"/>
          <w:szCs w:val="21"/>
        </w:rPr>
      </w:pPr>
    </w:p>
    <w:p w:rsidR="00E809F9" w:rsidRPr="00DD744C" w:rsidRDefault="00E809F9" w:rsidP="00E809F9">
      <w:pPr>
        <w:snapToGrid w:val="0"/>
        <w:spacing w:line="360" w:lineRule="exact"/>
        <w:jc w:val="left"/>
        <w:rPr>
          <w:rFonts w:cs="Arial"/>
          <w:color w:val="000000"/>
          <w:kern w:val="0"/>
          <w:szCs w:val="21"/>
        </w:rPr>
      </w:pPr>
      <w:r w:rsidRPr="00DD744C">
        <w:rPr>
          <w:rFonts w:hAnsi="宋体" w:cs="Arial"/>
          <w:color w:val="000000"/>
          <w:kern w:val="0"/>
          <w:szCs w:val="21"/>
        </w:rPr>
        <w:t>党中央有关部门，国务院各部委、各直属机构，武警部队，新疆生产建设兵团，全国人大常委会办公厅，全国政协办公厅，高法院，高检院，有关人民团体，有关中央管理企业，各中央国库集中支付代理银行：</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根据国务院批准的财政国库管理制度改革方案和国库集中支付制度规定，按照《国务院关于编制</w:t>
      </w:r>
      <w:r w:rsidRPr="00DD744C">
        <w:rPr>
          <w:rFonts w:cs="Arial"/>
          <w:color w:val="000000"/>
          <w:kern w:val="0"/>
          <w:szCs w:val="21"/>
        </w:rPr>
        <w:t>2012</w:t>
      </w:r>
      <w:r w:rsidRPr="00DD744C">
        <w:rPr>
          <w:rFonts w:hAnsi="宋体" w:cs="Arial"/>
          <w:color w:val="000000"/>
          <w:kern w:val="0"/>
          <w:szCs w:val="21"/>
        </w:rPr>
        <w:t>年中央预算和地方预算的通知》（国发</w:t>
      </w:r>
      <w:r w:rsidRPr="00DD744C">
        <w:rPr>
          <w:rFonts w:cs="Arial"/>
          <w:color w:val="000000"/>
          <w:kern w:val="0"/>
          <w:szCs w:val="21"/>
        </w:rPr>
        <w:t>[2011]36</w:t>
      </w:r>
      <w:r w:rsidRPr="00DD744C">
        <w:rPr>
          <w:rFonts w:hAnsi="宋体" w:cs="Arial"/>
          <w:color w:val="000000"/>
          <w:kern w:val="0"/>
          <w:szCs w:val="21"/>
        </w:rPr>
        <w:t>号）有关要求，现将</w:t>
      </w:r>
      <w:r w:rsidRPr="00DD744C">
        <w:rPr>
          <w:rFonts w:cs="Arial"/>
          <w:color w:val="000000"/>
          <w:kern w:val="0"/>
          <w:szCs w:val="21"/>
        </w:rPr>
        <w:t>2012</w:t>
      </w:r>
      <w:r w:rsidRPr="00DD744C">
        <w:rPr>
          <w:rFonts w:hAnsi="宋体" w:cs="Arial"/>
          <w:color w:val="000000"/>
          <w:kern w:val="0"/>
          <w:szCs w:val="21"/>
        </w:rPr>
        <w:t>年深化国库集中支付制度改革有关事项通知如下：</w:t>
      </w:r>
    </w:p>
    <w:p w:rsidR="00E809F9" w:rsidRPr="00DD744C" w:rsidRDefault="00E809F9" w:rsidP="00E809F9">
      <w:pPr>
        <w:snapToGrid w:val="0"/>
        <w:spacing w:line="360" w:lineRule="exact"/>
        <w:ind w:firstLineChars="200" w:firstLine="422"/>
        <w:jc w:val="left"/>
        <w:rPr>
          <w:rFonts w:cs="Arial"/>
          <w:color w:val="000000"/>
          <w:kern w:val="0"/>
          <w:szCs w:val="21"/>
        </w:rPr>
      </w:pPr>
      <w:r w:rsidRPr="00DD744C">
        <w:rPr>
          <w:rFonts w:hAnsi="宋体" w:cs="Arial"/>
          <w:b/>
          <w:bCs/>
          <w:color w:val="000000"/>
          <w:kern w:val="0"/>
          <w:szCs w:val="21"/>
        </w:rPr>
        <w:t>一、深化改革的总体要求</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cs="Arial"/>
          <w:color w:val="000000"/>
          <w:kern w:val="0"/>
          <w:szCs w:val="21"/>
        </w:rPr>
        <w:t>2012</w:t>
      </w:r>
      <w:r w:rsidRPr="00DD744C">
        <w:rPr>
          <w:rFonts w:hAnsi="宋体" w:cs="Arial"/>
          <w:color w:val="000000"/>
          <w:kern w:val="0"/>
          <w:szCs w:val="21"/>
        </w:rPr>
        <w:t>年是我国财政国库管理制度改革全面深化的重要一年，各部门要按照国务院有关要求，大力推进财政国库管理制度改革，加强预算执行管理，提高财政财务管理的科学化精细化水平。全面深化国库集中支付制度改革，实现所有中央预算单位和所有公共财政预算、政府性基金预算、国有资本经营预算资金的国库集中支付；健全和完善国库单一账户体系，进一步清理预算单位银行账户，凡是违规设置的账户要一律撤销归并，逐步将中央预算单位实有资金账户纳入国库单一账户体系和监控范围；深化公务卡制度改革，将改革推进到所有基层预算单位，严格执行公务卡强制结算目录，切实减少公务支出的现金使用；加强用款计划管理，研究编制年度用款计划，不断提高用款计划的科学性和准确性；继续推进预算执行细化管理；在确保资金安全的前提下，稳步开展财政授权支付网上银行业务试点；不断完善预算执行管理制度和预算支出责任制度，进一步提高预算执行的均衡性和效率，并严格按照国库集中支付制度规定支付资金。</w:t>
      </w:r>
    </w:p>
    <w:p w:rsidR="00E809F9" w:rsidRPr="00DD744C" w:rsidRDefault="00E809F9" w:rsidP="00E809F9">
      <w:pPr>
        <w:snapToGrid w:val="0"/>
        <w:spacing w:line="360" w:lineRule="exact"/>
        <w:ind w:firstLineChars="200" w:firstLine="422"/>
        <w:jc w:val="left"/>
        <w:rPr>
          <w:rFonts w:cs="Arial"/>
          <w:color w:val="000000"/>
          <w:kern w:val="0"/>
          <w:szCs w:val="21"/>
        </w:rPr>
      </w:pPr>
      <w:r w:rsidRPr="00DD744C">
        <w:rPr>
          <w:rFonts w:hAnsi="宋体" w:cs="Arial"/>
          <w:b/>
          <w:bCs/>
          <w:color w:val="000000"/>
          <w:kern w:val="0"/>
          <w:szCs w:val="21"/>
        </w:rPr>
        <w:t>二、认真做好国库集中支付改革范围划分工作</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（一）支付方式与范围划分标准。</w:t>
      </w:r>
      <w:r w:rsidRPr="00DD744C">
        <w:rPr>
          <w:rFonts w:cs="Arial"/>
          <w:color w:val="000000"/>
          <w:kern w:val="0"/>
          <w:szCs w:val="21"/>
        </w:rPr>
        <w:t>2012</w:t>
      </w:r>
      <w:r w:rsidRPr="00DD744C">
        <w:rPr>
          <w:rFonts w:hAnsi="宋体" w:cs="Arial"/>
          <w:color w:val="000000"/>
          <w:kern w:val="0"/>
          <w:szCs w:val="21"/>
        </w:rPr>
        <w:t>年，实行财政直接支付的资金范围包括：公共财政预算支出和政府性基金预算支出中，年度财政投资超过</w:t>
      </w:r>
      <w:r w:rsidRPr="00DD744C">
        <w:rPr>
          <w:rFonts w:cs="Arial"/>
          <w:color w:val="000000"/>
          <w:kern w:val="0"/>
          <w:szCs w:val="21"/>
        </w:rPr>
        <w:t>1000</w:t>
      </w:r>
      <w:r w:rsidRPr="00DD744C">
        <w:rPr>
          <w:rFonts w:hAnsi="宋体" w:cs="Arial"/>
          <w:color w:val="000000"/>
          <w:kern w:val="0"/>
          <w:szCs w:val="21"/>
        </w:rPr>
        <w:t>万元（含</w:t>
      </w:r>
      <w:r w:rsidRPr="00DD744C">
        <w:rPr>
          <w:rFonts w:cs="Arial"/>
          <w:color w:val="000000"/>
          <w:kern w:val="0"/>
          <w:szCs w:val="21"/>
        </w:rPr>
        <w:t>1000</w:t>
      </w:r>
      <w:r w:rsidRPr="00DD744C">
        <w:rPr>
          <w:rFonts w:hAnsi="宋体" w:cs="Arial"/>
          <w:color w:val="000000"/>
          <w:kern w:val="0"/>
          <w:szCs w:val="21"/>
        </w:rPr>
        <w:t>万元）的工程采购支出（包括建筑安装工程、设备采购、工程监理、设计服务、移民征地拆迁和工程质量保证金等支出，不包括建设单位管理费等零星支出）；中央基层预算单位（不包括所在地财政专员办不具备网上审核条件的中央三级及三级以下基层预算单位）项目支出中，纳入政府采购预算且金额超过</w:t>
      </w:r>
      <w:r w:rsidRPr="00DD744C">
        <w:rPr>
          <w:rFonts w:cs="Arial"/>
          <w:color w:val="000000"/>
          <w:kern w:val="0"/>
          <w:szCs w:val="21"/>
        </w:rPr>
        <w:t>200</w:t>
      </w:r>
      <w:r w:rsidRPr="00DD744C">
        <w:rPr>
          <w:rFonts w:hAnsi="宋体" w:cs="Arial"/>
          <w:color w:val="000000"/>
          <w:kern w:val="0"/>
          <w:szCs w:val="21"/>
        </w:rPr>
        <w:t>万元（含</w:t>
      </w:r>
      <w:r w:rsidRPr="00DD744C">
        <w:rPr>
          <w:rFonts w:cs="Arial"/>
          <w:color w:val="000000"/>
          <w:kern w:val="0"/>
          <w:szCs w:val="21"/>
        </w:rPr>
        <w:t>200</w:t>
      </w:r>
      <w:r w:rsidRPr="00DD744C">
        <w:rPr>
          <w:rFonts w:hAnsi="宋体" w:cs="Arial"/>
          <w:color w:val="000000"/>
          <w:kern w:val="0"/>
          <w:szCs w:val="21"/>
        </w:rPr>
        <w:t>万元）的物品和服务采购支出；基本支出中纳入财政统发范围的工资、离退休费；能够直接支付到收款人或用款单位的转移性支出，包括拨付有关企业的补贴等；国有资本经营预算支出（财政部另有规定的除外）。</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实行财政授权支付的资金范围包括：公共财政预算支出和政府性基金预算支出中，未纳入财政直接支付的工程、物品、服务等购买支出和零星支出；特别紧急支出；财政部规定的其他支出。</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（二）范围划分建议表报送。各部门应于</w:t>
      </w:r>
      <w:smartTag w:uri="urn:schemas-microsoft-com:office:smarttags" w:element="chsdate">
        <w:smartTagPr>
          <w:attr w:name="Year" w:val="2011"/>
          <w:attr w:name="Month" w:val="12"/>
          <w:attr w:name="Day" w:val="10"/>
          <w:attr w:name="IsLunarDate" w:val="False"/>
          <w:attr w:name="IsROCDate" w:val="False"/>
        </w:smartTagPr>
        <w:r w:rsidRPr="00DD744C">
          <w:rPr>
            <w:rFonts w:cs="Arial"/>
            <w:color w:val="000000"/>
            <w:kern w:val="0"/>
            <w:szCs w:val="21"/>
          </w:rPr>
          <w:t>2011</w:t>
        </w:r>
        <w:r w:rsidRPr="00DD744C">
          <w:rPr>
            <w:rFonts w:hAnsi="宋体" w:cs="Arial"/>
            <w:color w:val="000000"/>
            <w:kern w:val="0"/>
            <w:szCs w:val="21"/>
          </w:rPr>
          <w:t>年</w:t>
        </w:r>
        <w:r w:rsidRPr="00DD744C">
          <w:rPr>
            <w:rFonts w:cs="Arial"/>
            <w:color w:val="000000"/>
            <w:kern w:val="0"/>
            <w:szCs w:val="21"/>
          </w:rPr>
          <w:t>12</w:t>
        </w:r>
        <w:r w:rsidRPr="00DD744C">
          <w:rPr>
            <w:rFonts w:hAnsi="宋体" w:cs="Arial"/>
            <w:color w:val="000000"/>
            <w:kern w:val="0"/>
            <w:szCs w:val="21"/>
          </w:rPr>
          <w:t>月</w:t>
        </w:r>
        <w:r w:rsidRPr="00DD744C">
          <w:rPr>
            <w:rFonts w:cs="Arial"/>
            <w:color w:val="000000"/>
            <w:kern w:val="0"/>
            <w:szCs w:val="21"/>
          </w:rPr>
          <w:t>10</w:t>
        </w:r>
        <w:r w:rsidRPr="00DD744C">
          <w:rPr>
            <w:rFonts w:hAnsi="宋体" w:cs="Arial"/>
            <w:color w:val="000000"/>
            <w:kern w:val="0"/>
            <w:szCs w:val="21"/>
          </w:rPr>
          <w:t>日前</w:t>
        </w:r>
      </w:smartTag>
      <w:r w:rsidRPr="00DD744C">
        <w:rPr>
          <w:rFonts w:hAnsi="宋体" w:cs="Arial"/>
          <w:color w:val="000000"/>
          <w:kern w:val="0"/>
          <w:szCs w:val="21"/>
        </w:rPr>
        <w:t>根据</w:t>
      </w:r>
      <w:r w:rsidRPr="00DD744C">
        <w:rPr>
          <w:rFonts w:cs="Arial"/>
          <w:color w:val="000000"/>
          <w:kern w:val="0"/>
          <w:szCs w:val="21"/>
        </w:rPr>
        <w:t>“</w:t>
      </w:r>
      <w:r w:rsidRPr="00DD744C">
        <w:rPr>
          <w:rFonts w:hAnsi="宋体" w:cs="Arial"/>
          <w:color w:val="000000"/>
          <w:kern w:val="0"/>
          <w:szCs w:val="21"/>
        </w:rPr>
        <w:t>二上</w:t>
      </w:r>
      <w:r w:rsidRPr="00DD744C">
        <w:rPr>
          <w:rFonts w:cs="Arial"/>
          <w:color w:val="000000"/>
          <w:kern w:val="0"/>
          <w:szCs w:val="21"/>
        </w:rPr>
        <w:t>”</w:t>
      </w:r>
      <w:r w:rsidRPr="00DD744C">
        <w:rPr>
          <w:rFonts w:hAnsi="宋体" w:cs="Arial"/>
          <w:color w:val="000000"/>
          <w:kern w:val="0"/>
          <w:szCs w:val="21"/>
        </w:rPr>
        <w:t>预算，按照本通知规定的范围划分原则，以司局文件和电子文档形式，将《</w:t>
      </w:r>
      <w:r w:rsidRPr="00DD744C">
        <w:rPr>
          <w:rFonts w:cs="Arial"/>
          <w:color w:val="000000"/>
          <w:kern w:val="0"/>
          <w:szCs w:val="21"/>
        </w:rPr>
        <w:t>*****</w:t>
      </w:r>
      <w:r w:rsidRPr="00DD744C">
        <w:rPr>
          <w:rFonts w:hAnsi="宋体" w:cs="Arial"/>
          <w:color w:val="000000"/>
          <w:kern w:val="0"/>
          <w:szCs w:val="21"/>
        </w:rPr>
        <w:t>（部门）</w:t>
      </w:r>
      <w:r w:rsidRPr="00DD744C">
        <w:rPr>
          <w:rFonts w:cs="Arial"/>
          <w:color w:val="000000"/>
          <w:kern w:val="0"/>
          <w:szCs w:val="21"/>
        </w:rPr>
        <w:t>2012</w:t>
      </w:r>
      <w:r w:rsidRPr="00DD744C">
        <w:rPr>
          <w:rFonts w:hAnsi="宋体" w:cs="Arial"/>
          <w:color w:val="000000"/>
          <w:kern w:val="0"/>
          <w:szCs w:val="21"/>
        </w:rPr>
        <w:t>年国库</w:t>
      </w:r>
      <w:r w:rsidRPr="00DD744C">
        <w:rPr>
          <w:rFonts w:hAnsi="宋体" w:cs="Arial"/>
          <w:color w:val="000000"/>
          <w:kern w:val="0"/>
          <w:szCs w:val="21"/>
        </w:rPr>
        <w:lastRenderedPageBreak/>
        <w:t>集中支付制度改革范围划分汇总建议表》（附件</w:t>
      </w:r>
      <w:r w:rsidRPr="00DD744C">
        <w:rPr>
          <w:rFonts w:cs="Arial"/>
          <w:color w:val="000000"/>
          <w:kern w:val="0"/>
          <w:szCs w:val="21"/>
        </w:rPr>
        <w:t>1</w:t>
      </w:r>
      <w:r w:rsidRPr="00DD744C">
        <w:rPr>
          <w:rFonts w:hAnsi="宋体" w:cs="Arial"/>
          <w:color w:val="000000"/>
          <w:kern w:val="0"/>
          <w:szCs w:val="21"/>
        </w:rPr>
        <w:t>）、《</w:t>
      </w:r>
      <w:r w:rsidRPr="00DD744C">
        <w:rPr>
          <w:rFonts w:cs="Arial"/>
          <w:color w:val="000000"/>
          <w:kern w:val="0"/>
          <w:szCs w:val="21"/>
        </w:rPr>
        <w:t>*****</w:t>
      </w:r>
      <w:r w:rsidRPr="00DD744C">
        <w:rPr>
          <w:rFonts w:hAnsi="宋体" w:cs="Arial"/>
          <w:color w:val="000000"/>
          <w:kern w:val="0"/>
          <w:szCs w:val="21"/>
        </w:rPr>
        <w:t>（部门）</w:t>
      </w:r>
      <w:r w:rsidRPr="00DD744C">
        <w:rPr>
          <w:rFonts w:cs="Arial"/>
          <w:color w:val="000000"/>
          <w:kern w:val="0"/>
          <w:szCs w:val="21"/>
        </w:rPr>
        <w:t>2012</w:t>
      </w:r>
      <w:r w:rsidRPr="00DD744C">
        <w:rPr>
          <w:rFonts w:hAnsi="宋体" w:cs="Arial"/>
          <w:color w:val="000000"/>
          <w:kern w:val="0"/>
          <w:szCs w:val="21"/>
        </w:rPr>
        <w:t>年国库集中支付制度改革公共财政预算资金范围划分明细建议表》（附件</w:t>
      </w:r>
      <w:r w:rsidRPr="00DD744C">
        <w:rPr>
          <w:rFonts w:cs="Arial"/>
          <w:color w:val="000000"/>
          <w:kern w:val="0"/>
          <w:szCs w:val="21"/>
        </w:rPr>
        <w:t>2</w:t>
      </w:r>
      <w:r w:rsidRPr="00DD744C">
        <w:rPr>
          <w:rFonts w:hAnsi="宋体" w:cs="Arial"/>
          <w:color w:val="000000"/>
          <w:kern w:val="0"/>
          <w:szCs w:val="21"/>
        </w:rPr>
        <w:t>）、《</w:t>
      </w:r>
      <w:r w:rsidRPr="00DD744C">
        <w:rPr>
          <w:rFonts w:cs="Arial"/>
          <w:color w:val="000000"/>
          <w:kern w:val="0"/>
          <w:szCs w:val="21"/>
        </w:rPr>
        <w:t>*****</w:t>
      </w:r>
      <w:r w:rsidRPr="00DD744C">
        <w:rPr>
          <w:rFonts w:hAnsi="宋体" w:cs="Arial"/>
          <w:color w:val="000000"/>
          <w:kern w:val="0"/>
          <w:szCs w:val="21"/>
        </w:rPr>
        <w:t>（部门）</w:t>
      </w:r>
      <w:r w:rsidRPr="00DD744C">
        <w:rPr>
          <w:rFonts w:cs="Arial"/>
          <w:color w:val="000000"/>
          <w:kern w:val="0"/>
          <w:szCs w:val="21"/>
        </w:rPr>
        <w:t>2012</w:t>
      </w:r>
      <w:r w:rsidRPr="00DD744C">
        <w:rPr>
          <w:rFonts w:hAnsi="宋体" w:cs="Arial"/>
          <w:color w:val="000000"/>
          <w:kern w:val="0"/>
          <w:szCs w:val="21"/>
        </w:rPr>
        <w:t>年国库集中支付制度改革政府性基金预算资金范围划分明细建议表》（附件</w:t>
      </w:r>
      <w:r w:rsidRPr="00DD744C">
        <w:rPr>
          <w:rFonts w:cs="Arial"/>
          <w:color w:val="000000"/>
          <w:kern w:val="0"/>
          <w:szCs w:val="21"/>
        </w:rPr>
        <w:t>3</w:t>
      </w:r>
      <w:r w:rsidRPr="00DD744C">
        <w:rPr>
          <w:rFonts w:hAnsi="宋体" w:cs="Arial"/>
          <w:color w:val="000000"/>
          <w:kern w:val="0"/>
          <w:szCs w:val="21"/>
        </w:rPr>
        <w:t>）报财政部（国库司和部门预算管理司）备案。</w:t>
      </w:r>
      <w:r w:rsidRPr="00DD744C">
        <w:rPr>
          <w:rFonts w:cs="Arial"/>
          <w:color w:val="000000"/>
          <w:kern w:val="0"/>
          <w:szCs w:val="21"/>
        </w:rPr>
        <w:t>2012</w:t>
      </w:r>
      <w:r w:rsidRPr="00DD744C">
        <w:rPr>
          <w:rFonts w:hAnsi="宋体" w:cs="Arial"/>
          <w:color w:val="000000"/>
          <w:kern w:val="0"/>
          <w:szCs w:val="21"/>
        </w:rPr>
        <w:t>年正式预算批复前，根据</w:t>
      </w:r>
      <w:r w:rsidRPr="00DD744C">
        <w:rPr>
          <w:rFonts w:cs="Arial"/>
          <w:color w:val="000000"/>
          <w:kern w:val="0"/>
          <w:szCs w:val="21"/>
        </w:rPr>
        <w:t>“</w:t>
      </w:r>
      <w:r w:rsidRPr="00DD744C">
        <w:rPr>
          <w:rFonts w:hAnsi="宋体" w:cs="Arial"/>
          <w:color w:val="000000"/>
          <w:kern w:val="0"/>
          <w:szCs w:val="21"/>
        </w:rPr>
        <w:t>二上</w:t>
      </w:r>
      <w:r w:rsidRPr="00DD744C">
        <w:rPr>
          <w:rFonts w:cs="Arial"/>
          <w:color w:val="000000"/>
          <w:kern w:val="0"/>
          <w:szCs w:val="21"/>
        </w:rPr>
        <w:t>”</w:t>
      </w:r>
      <w:r w:rsidRPr="00DD744C">
        <w:rPr>
          <w:rFonts w:hAnsi="宋体" w:cs="Arial"/>
          <w:color w:val="000000"/>
          <w:kern w:val="0"/>
          <w:szCs w:val="21"/>
        </w:rPr>
        <w:t>预算及报送备案的范围划分建议表编报用款计划。其中，汇总建议</w:t>
      </w:r>
      <w:proofErr w:type="gramStart"/>
      <w:r w:rsidRPr="00DD744C">
        <w:rPr>
          <w:rFonts w:hAnsi="宋体" w:cs="Arial"/>
          <w:color w:val="000000"/>
          <w:kern w:val="0"/>
          <w:szCs w:val="21"/>
        </w:rPr>
        <w:t>表按照</w:t>
      </w:r>
      <w:proofErr w:type="gramEnd"/>
      <w:r w:rsidRPr="00DD744C">
        <w:rPr>
          <w:rFonts w:hAnsi="宋体" w:cs="Arial"/>
          <w:color w:val="000000"/>
          <w:kern w:val="0"/>
          <w:szCs w:val="21"/>
        </w:rPr>
        <w:t>政府收支分类科目功能分类的项级科目汇总填报；明细建议</w:t>
      </w:r>
      <w:proofErr w:type="gramStart"/>
      <w:r w:rsidRPr="00DD744C">
        <w:rPr>
          <w:rFonts w:hAnsi="宋体" w:cs="Arial"/>
          <w:color w:val="000000"/>
          <w:kern w:val="0"/>
          <w:szCs w:val="21"/>
        </w:rPr>
        <w:t>表按照项</w:t>
      </w:r>
      <w:proofErr w:type="gramEnd"/>
      <w:r w:rsidRPr="00DD744C">
        <w:rPr>
          <w:rFonts w:hAnsi="宋体" w:cs="Arial"/>
          <w:color w:val="000000"/>
          <w:kern w:val="0"/>
          <w:szCs w:val="21"/>
        </w:rPr>
        <w:t>级科目</w:t>
      </w:r>
      <w:proofErr w:type="gramStart"/>
      <w:r w:rsidRPr="00DD744C">
        <w:rPr>
          <w:rFonts w:hAnsi="宋体" w:cs="Arial"/>
          <w:color w:val="000000"/>
          <w:kern w:val="0"/>
          <w:szCs w:val="21"/>
        </w:rPr>
        <w:t>分基层</w:t>
      </w:r>
      <w:proofErr w:type="gramEnd"/>
      <w:r w:rsidRPr="00DD744C">
        <w:rPr>
          <w:rFonts w:hAnsi="宋体" w:cs="Arial"/>
          <w:color w:val="000000"/>
          <w:kern w:val="0"/>
          <w:szCs w:val="21"/>
        </w:rPr>
        <w:t>预算单位填报，其中实行财政直接支付的项目支出要填报到预算项目。</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cs="Arial"/>
          <w:color w:val="000000"/>
          <w:kern w:val="0"/>
          <w:szCs w:val="21"/>
        </w:rPr>
        <w:t>2012</w:t>
      </w:r>
      <w:r w:rsidRPr="00DD744C">
        <w:rPr>
          <w:rFonts w:hAnsi="宋体" w:cs="Arial"/>
          <w:color w:val="000000"/>
          <w:kern w:val="0"/>
          <w:szCs w:val="21"/>
        </w:rPr>
        <w:t>年部门预算批复后</w:t>
      </w:r>
      <w:r w:rsidRPr="00DD744C">
        <w:rPr>
          <w:rFonts w:cs="Arial"/>
          <w:color w:val="000000"/>
          <w:kern w:val="0"/>
          <w:szCs w:val="21"/>
        </w:rPr>
        <w:t>15</w:t>
      </w:r>
      <w:r w:rsidRPr="00DD744C">
        <w:rPr>
          <w:rFonts w:hAnsi="宋体" w:cs="Arial"/>
          <w:color w:val="000000"/>
          <w:kern w:val="0"/>
          <w:szCs w:val="21"/>
        </w:rPr>
        <w:t>个工作日内，各部门要根据部门预算调整范围划分情况，以司局文件和电子文档形式，向财政部（国库司和部门预算管理司）重新调整报送汇总建议表和相关明细建议表。</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（三）范围划分建议表审核批复。收到各部门报送的范围划分建议表后，财政部对范围划分建议表的纸质文件和电子信息同时进行审核。其中，对于电子信息，财政部将通过财政国库</w:t>
      </w:r>
      <w:proofErr w:type="gramStart"/>
      <w:r w:rsidRPr="00DD744C">
        <w:rPr>
          <w:rFonts w:hAnsi="宋体" w:cs="Arial"/>
          <w:color w:val="000000"/>
          <w:kern w:val="0"/>
          <w:szCs w:val="21"/>
        </w:rPr>
        <w:t>外围管理</w:t>
      </w:r>
      <w:proofErr w:type="gramEnd"/>
      <w:r w:rsidRPr="00DD744C">
        <w:rPr>
          <w:rFonts w:hAnsi="宋体" w:cs="Arial"/>
          <w:color w:val="000000"/>
          <w:kern w:val="0"/>
          <w:szCs w:val="21"/>
        </w:rPr>
        <w:t>平台系统或相关信息系统进行校验。检验未通过的，中央部门根据信息系统提示的错误原因进行调整后重新上报，直至校验成功。</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财政部在成功接收并审核同意中央部门按部门预算报送的范围划分建议表（纸质文件和电子信息）后</w:t>
      </w:r>
      <w:r w:rsidRPr="00DD744C">
        <w:rPr>
          <w:rFonts w:cs="Arial"/>
          <w:color w:val="000000"/>
          <w:kern w:val="0"/>
          <w:szCs w:val="21"/>
        </w:rPr>
        <w:t>15</w:t>
      </w:r>
      <w:r w:rsidRPr="00DD744C">
        <w:rPr>
          <w:rFonts w:hAnsi="宋体" w:cs="Arial"/>
          <w:color w:val="000000"/>
          <w:kern w:val="0"/>
          <w:szCs w:val="21"/>
        </w:rPr>
        <w:t>个工作日内，将汇总建议表和相关明细建议表以</w:t>
      </w:r>
      <w:r w:rsidRPr="00DD744C">
        <w:rPr>
          <w:rFonts w:cs="Arial"/>
          <w:color w:val="000000"/>
          <w:kern w:val="0"/>
          <w:szCs w:val="21"/>
        </w:rPr>
        <w:t>“</w:t>
      </w:r>
      <w:r w:rsidRPr="00DD744C">
        <w:rPr>
          <w:rFonts w:hAnsi="宋体" w:cs="Arial"/>
          <w:color w:val="000000"/>
          <w:kern w:val="0"/>
          <w:szCs w:val="21"/>
        </w:rPr>
        <w:t>财办库</w:t>
      </w:r>
      <w:r w:rsidRPr="00DD744C">
        <w:rPr>
          <w:rFonts w:cs="Arial"/>
          <w:color w:val="000000"/>
          <w:kern w:val="0"/>
          <w:szCs w:val="21"/>
        </w:rPr>
        <w:t>”</w:t>
      </w:r>
      <w:r w:rsidRPr="00DD744C">
        <w:rPr>
          <w:rFonts w:hAnsi="宋体" w:cs="Arial"/>
          <w:color w:val="000000"/>
          <w:kern w:val="0"/>
          <w:szCs w:val="21"/>
        </w:rPr>
        <w:t>形式批复。</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四）有关调整事项处理。年度预算执行中有调整预算的，应按国库集中支付制度改革范围划分标准确定资金支付方式，经财政部（国库司）审核同意后执行。若预算调整文件中未列明物品和服务采购支出、工程采购支出金额，部门应向财政部（国库司）提供项目预算中物品和服务采购支出、工程采购支出明细信息，以此为依据确定资金支付方式。年度执行中需要调整支付方式的，预算单位应当以正式文件向财政部（国库司）提出调整申请，经审核同意后进行调整。</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各部门要高度重视国库集中支付制度改革范围划分工作，严格执行范围划分标准，按照规定时间和要求编报范围划分建议表，确保用款计划编报和预算执行工作的顺利实施。</w:t>
      </w:r>
    </w:p>
    <w:p w:rsidR="00E809F9" w:rsidRPr="00DD744C" w:rsidRDefault="00E809F9" w:rsidP="00E809F9">
      <w:pPr>
        <w:snapToGrid w:val="0"/>
        <w:spacing w:line="360" w:lineRule="exact"/>
        <w:ind w:firstLineChars="200" w:firstLine="422"/>
        <w:jc w:val="left"/>
        <w:rPr>
          <w:rFonts w:cs="Arial"/>
          <w:color w:val="000000"/>
          <w:kern w:val="0"/>
          <w:szCs w:val="21"/>
        </w:rPr>
      </w:pPr>
      <w:r w:rsidRPr="00DD744C">
        <w:rPr>
          <w:rFonts w:hAnsi="宋体" w:cs="Arial"/>
          <w:b/>
          <w:bCs/>
          <w:color w:val="000000"/>
          <w:kern w:val="0"/>
          <w:szCs w:val="21"/>
        </w:rPr>
        <w:t>三、扎实做好预算执行管理各项基础工作</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（一）严格执行中央预算单位公务卡强制结算目录。</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各部门要按照《财政部关于实施中央预算单位公务卡强制结算目录的通知》（财库</w:t>
      </w:r>
      <w:r w:rsidRPr="00DD744C">
        <w:rPr>
          <w:rFonts w:cs="Arial"/>
          <w:color w:val="000000"/>
          <w:kern w:val="0"/>
          <w:szCs w:val="21"/>
        </w:rPr>
        <w:t>[2011]160</w:t>
      </w:r>
      <w:r w:rsidRPr="00DD744C">
        <w:rPr>
          <w:rFonts w:hAnsi="宋体" w:cs="Arial"/>
          <w:color w:val="000000"/>
          <w:kern w:val="0"/>
          <w:szCs w:val="21"/>
        </w:rPr>
        <w:t>号）要求，尽快制定本部门实施公务卡强制结算目录的管理办法并报财政部备案，同时加强宣传培训，指导并督促所属各基层预算单位做好实施公务卡强制结算目录有关工作，在各单位形成主动用卡、自觉用卡的良好氛围，切实减少公务支出中的现金提取和使用。尚未实施公务卡制度改革的单位要加快改革步伐，</w:t>
      </w:r>
      <w:r w:rsidRPr="00DD744C">
        <w:rPr>
          <w:rFonts w:cs="Arial"/>
          <w:color w:val="000000"/>
          <w:kern w:val="0"/>
          <w:szCs w:val="21"/>
        </w:rPr>
        <w:t>2012</w:t>
      </w:r>
      <w:r w:rsidRPr="00DD744C">
        <w:rPr>
          <w:rFonts w:hAnsi="宋体" w:cs="Arial"/>
          <w:color w:val="000000"/>
          <w:kern w:val="0"/>
          <w:szCs w:val="21"/>
        </w:rPr>
        <w:t>年底前将改革推进到所有基层预算单位。</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（二）进一步加强国库集中支付会计对账工作。</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加强国库集中支付会计对账工作，是确保财政资金安全的重要基础。各部门各单位要严格按照有关制度要求，进一步做好国库集中支付会计对账工作。一级预算单位与财政部、代理银行总行、下属各级基层预算单位之间，基层预算单位与基层经办行之间要定期对账；一级预算单位负责本部门及下属基层预算单位的对账管理工作，制定本部门上下级预算单位之间的对账办法，并定期报送对账情况。代理银行总行与财政部、国家金库总库、一级预算单</w:t>
      </w:r>
      <w:r w:rsidRPr="00DD744C">
        <w:rPr>
          <w:rFonts w:hAnsi="宋体" w:cs="Arial"/>
          <w:color w:val="000000"/>
          <w:kern w:val="0"/>
          <w:szCs w:val="21"/>
        </w:rPr>
        <w:lastRenderedPageBreak/>
        <w:t>位之间，基层经办行与基层预算单位之间要定期对账；代理银行要制定内部职能部门之间、上下级机构之间的国库集中支付对账办法，并定期报送对账情况。</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（三）继续推进预算执行细化管理。</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cs="Arial"/>
          <w:color w:val="000000"/>
          <w:kern w:val="0"/>
          <w:szCs w:val="21"/>
        </w:rPr>
        <w:t>2012</w:t>
      </w:r>
      <w:r w:rsidRPr="00DD744C">
        <w:rPr>
          <w:rFonts w:hAnsi="宋体" w:cs="Arial"/>
          <w:color w:val="000000"/>
          <w:kern w:val="0"/>
          <w:szCs w:val="21"/>
        </w:rPr>
        <w:t>年，各中央预算单位要继续将上年结余和当年预算分开执行，财政部确定的将项目支出执行到预算项目的试点部门范围不变。年终结余资金处理按现行规定执行。各代理银行要完善相关信息系统，为试点预算单位按月提供细化到预算项目的对账单，以便预算单位核对项目执行情况。</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（四）配合做好预算执行动态监控工作。</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各部门要高度重视预算执行动态监控工作在国库集中支付制度改革中的积极作用，进一步规范资金支付和严格资金使用，如实填写支票</w:t>
      </w:r>
      <w:r>
        <w:rPr>
          <w:rFonts w:cs="Arial" w:hint="eastAsia"/>
          <w:color w:val="000000"/>
          <w:kern w:val="0"/>
          <w:szCs w:val="21"/>
        </w:rPr>
        <w:t>“</w:t>
      </w:r>
      <w:r w:rsidRPr="00DD744C">
        <w:rPr>
          <w:rFonts w:hAnsi="宋体" w:cs="Arial"/>
          <w:color w:val="000000"/>
          <w:kern w:val="0"/>
          <w:szCs w:val="21"/>
        </w:rPr>
        <w:t>用途</w:t>
      </w:r>
      <w:r>
        <w:rPr>
          <w:rFonts w:cs="Arial" w:hint="eastAsia"/>
          <w:color w:val="000000"/>
          <w:kern w:val="0"/>
          <w:szCs w:val="21"/>
        </w:rPr>
        <w:t>”</w:t>
      </w:r>
      <w:r w:rsidRPr="00DD744C">
        <w:rPr>
          <w:rFonts w:hAnsi="宋体" w:cs="Arial"/>
          <w:color w:val="000000"/>
          <w:kern w:val="0"/>
          <w:szCs w:val="21"/>
        </w:rPr>
        <w:t>等要素信息，并及时报送有关工作信息。加强对所属预算单位资金支付的监督管理，完善与财政部动态监控工作互动渠道，形成动态监控管理合力，保障财政资金安全规范和有效使用。</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（五）稳步开展中央财政授权支付网上银行业务试点。</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开展中央财政授权支付网上银行业务，可丰富预算单位授权支付业务办理渠道。目前大部分中央财政授权支付代理银行的财政授权支付网上银行系统已经通过验收并上线运行，能够满足预算单位单笔和批量支付</w:t>
      </w:r>
      <w:proofErr w:type="gramStart"/>
      <w:r w:rsidRPr="00DD744C">
        <w:rPr>
          <w:rFonts w:hAnsi="宋体" w:cs="Arial"/>
          <w:color w:val="000000"/>
          <w:kern w:val="0"/>
          <w:szCs w:val="21"/>
        </w:rPr>
        <w:t>以及网银查询</w:t>
      </w:r>
      <w:proofErr w:type="gramEnd"/>
      <w:r w:rsidRPr="00DD744C">
        <w:rPr>
          <w:rFonts w:hAnsi="宋体" w:cs="Arial"/>
          <w:color w:val="000000"/>
          <w:kern w:val="0"/>
          <w:szCs w:val="21"/>
        </w:rPr>
        <w:t>等业务需求。在确保资金支付安全的前提下，预算单位可根据实际管理需求，提出开通网上银行的申请，由一级预算单位汇总报送财政部（国库司），财政部发文同意后即可开通。</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（六）准确编报中央企业用款计划。</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财政部支付有关代编预算中央企业的财政支出，全部实行财政直接支付，企业不需要编报范围划分建议表，项目支出用款计划由财政部有关部门预算管理司代编改为国库集中支付系统根据预算指标自动生成，基本支出用款计划由企业通过</w:t>
      </w:r>
      <w:r>
        <w:rPr>
          <w:rFonts w:cs="Arial" w:hint="eastAsia"/>
          <w:color w:val="000000"/>
          <w:kern w:val="0"/>
          <w:szCs w:val="21"/>
        </w:rPr>
        <w:t>“</w:t>
      </w:r>
      <w:r w:rsidRPr="00DD744C">
        <w:rPr>
          <w:rFonts w:hAnsi="宋体" w:cs="Arial"/>
          <w:color w:val="000000"/>
          <w:kern w:val="0"/>
          <w:szCs w:val="21"/>
        </w:rPr>
        <w:t>中央预算单位财政资金支付管理系统</w:t>
      </w:r>
      <w:r w:rsidRPr="00DD744C">
        <w:rPr>
          <w:rFonts w:cs="Arial"/>
          <w:color w:val="000000"/>
          <w:kern w:val="0"/>
          <w:szCs w:val="21"/>
        </w:rPr>
        <w:t>7.1</w:t>
      </w:r>
      <w:r>
        <w:rPr>
          <w:rFonts w:cs="Arial" w:hint="eastAsia"/>
          <w:color w:val="000000"/>
          <w:kern w:val="0"/>
          <w:szCs w:val="21"/>
        </w:rPr>
        <w:t>”</w:t>
      </w:r>
      <w:r w:rsidRPr="00DD744C">
        <w:rPr>
          <w:rFonts w:hAnsi="宋体" w:cs="Arial"/>
          <w:color w:val="000000"/>
          <w:kern w:val="0"/>
          <w:szCs w:val="21"/>
        </w:rPr>
        <w:t>自行编报。</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特此通知。</w:t>
      </w:r>
    </w:p>
    <w:p w:rsidR="00E809F9" w:rsidRPr="00DD744C" w:rsidRDefault="00E809F9" w:rsidP="00E809F9">
      <w:pPr>
        <w:snapToGrid w:val="0"/>
        <w:spacing w:line="360" w:lineRule="exact"/>
        <w:ind w:firstLineChars="200" w:firstLine="420"/>
        <w:jc w:val="left"/>
        <w:rPr>
          <w:rFonts w:cs="Arial"/>
          <w:color w:val="000000"/>
          <w:kern w:val="0"/>
          <w:szCs w:val="21"/>
        </w:rPr>
      </w:pPr>
    </w:p>
    <w:p w:rsidR="00E809F9" w:rsidRDefault="00E809F9" w:rsidP="00E809F9">
      <w:pPr>
        <w:snapToGrid w:val="0"/>
        <w:spacing w:line="360" w:lineRule="exact"/>
        <w:ind w:firstLineChars="200" w:firstLine="420"/>
        <w:jc w:val="left"/>
        <w:rPr>
          <w:rFonts w:hAnsi="宋体" w:cs="Arial"/>
          <w:color w:val="000000"/>
          <w:kern w:val="0"/>
          <w:szCs w:val="21"/>
        </w:rPr>
      </w:pPr>
      <w:r w:rsidRPr="00DD744C">
        <w:rPr>
          <w:rFonts w:hAnsi="宋体" w:cs="Arial"/>
          <w:color w:val="000000"/>
          <w:kern w:val="0"/>
          <w:szCs w:val="21"/>
        </w:rPr>
        <w:t>附件：</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cs="Arial"/>
          <w:color w:val="000000"/>
          <w:kern w:val="0"/>
          <w:szCs w:val="21"/>
        </w:rPr>
        <w:t>1</w:t>
      </w:r>
      <w:r w:rsidRPr="00DD744C">
        <w:rPr>
          <w:rFonts w:hAnsi="宋体" w:cs="Arial"/>
          <w:color w:val="000000"/>
          <w:kern w:val="0"/>
          <w:szCs w:val="21"/>
        </w:rPr>
        <w:t>．</w:t>
      </w:r>
      <w:r w:rsidRPr="00DD744C">
        <w:rPr>
          <w:rFonts w:cs="Arial"/>
          <w:color w:val="000000"/>
          <w:kern w:val="0"/>
          <w:szCs w:val="21"/>
        </w:rPr>
        <w:t>*****</w:t>
      </w:r>
      <w:r w:rsidRPr="00DD744C">
        <w:rPr>
          <w:rFonts w:hAnsi="宋体" w:cs="Arial"/>
          <w:color w:val="000000"/>
          <w:kern w:val="0"/>
          <w:szCs w:val="21"/>
        </w:rPr>
        <w:t>（部门）</w:t>
      </w:r>
      <w:r w:rsidRPr="00DD744C">
        <w:rPr>
          <w:rFonts w:cs="Arial"/>
          <w:color w:val="000000"/>
          <w:kern w:val="0"/>
          <w:szCs w:val="21"/>
        </w:rPr>
        <w:t>2012</w:t>
      </w:r>
      <w:r w:rsidRPr="00DD744C">
        <w:rPr>
          <w:rFonts w:hAnsi="宋体" w:cs="Arial"/>
          <w:color w:val="000000"/>
          <w:kern w:val="0"/>
          <w:szCs w:val="21"/>
        </w:rPr>
        <w:t>年国库集中支付制度改革范围划分汇总建议表</w:t>
      </w:r>
      <w:r>
        <w:rPr>
          <w:rFonts w:hAnsi="宋体" w:cs="Arial" w:hint="eastAsia"/>
          <w:color w:val="000000"/>
          <w:kern w:val="0"/>
          <w:szCs w:val="21"/>
        </w:rPr>
        <w:t>（略）</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cs="Arial"/>
          <w:color w:val="000000"/>
          <w:kern w:val="0"/>
          <w:szCs w:val="21"/>
        </w:rPr>
        <w:t>2</w:t>
      </w:r>
      <w:r w:rsidRPr="00DD744C">
        <w:rPr>
          <w:rFonts w:hAnsi="宋体" w:cs="Arial"/>
          <w:color w:val="000000"/>
          <w:kern w:val="0"/>
          <w:szCs w:val="21"/>
        </w:rPr>
        <w:t>．</w:t>
      </w:r>
      <w:r>
        <w:rPr>
          <w:rFonts w:hAnsi="宋体" w:cs="Arial" w:hint="eastAsia"/>
          <w:color w:val="000000"/>
          <w:kern w:val="0"/>
          <w:szCs w:val="21"/>
        </w:rPr>
        <w:t xml:space="preserve"> </w:t>
      </w:r>
      <w:r w:rsidRPr="00DD744C">
        <w:rPr>
          <w:rFonts w:cs="Arial"/>
          <w:color w:val="000000"/>
          <w:kern w:val="0"/>
          <w:szCs w:val="21"/>
        </w:rPr>
        <w:t>*****</w:t>
      </w:r>
      <w:r w:rsidRPr="00DD744C">
        <w:rPr>
          <w:rFonts w:hAnsi="宋体" w:cs="Arial"/>
          <w:color w:val="000000"/>
          <w:kern w:val="0"/>
          <w:szCs w:val="21"/>
        </w:rPr>
        <w:t>（部门）</w:t>
      </w:r>
      <w:r w:rsidRPr="00DD744C">
        <w:rPr>
          <w:rFonts w:cs="Arial"/>
          <w:color w:val="000000"/>
          <w:kern w:val="0"/>
          <w:szCs w:val="21"/>
        </w:rPr>
        <w:t>2012</w:t>
      </w:r>
      <w:r w:rsidRPr="00DD744C">
        <w:rPr>
          <w:rFonts w:hAnsi="宋体" w:cs="Arial"/>
          <w:color w:val="000000"/>
          <w:kern w:val="0"/>
          <w:szCs w:val="21"/>
        </w:rPr>
        <w:t>年国库集中支付制度改革公共财政预算资金范围划分明细建议表</w:t>
      </w:r>
      <w:r>
        <w:rPr>
          <w:rFonts w:hAnsi="宋体" w:cs="Arial" w:hint="eastAsia"/>
          <w:color w:val="000000"/>
          <w:kern w:val="0"/>
          <w:szCs w:val="21"/>
        </w:rPr>
        <w:t>（略）</w:t>
      </w:r>
    </w:p>
    <w:p w:rsidR="00E809F9" w:rsidRDefault="00E809F9" w:rsidP="00E809F9">
      <w:pPr>
        <w:snapToGrid w:val="0"/>
        <w:spacing w:line="360" w:lineRule="exact"/>
        <w:ind w:leftChars="200" w:left="630" w:hangingChars="100" w:hanging="210"/>
        <w:jc w:val="left"/>
        <w:rPr>
          <w:rFonts w:hAnsi="宋体" w:cs="Arial"/>
          <w:color w:val="000000"/>
          <w:kern w:val="0"/>
          <w:szCs w:val="21"/>
        </w:rPr>
      </w:pPr>
      <w:r w:rsidRPr="00DD744C">
        <w:rPr>
          <w:rFonts w:cs="Arial"/>
          <w:color w:val="000000"/>
          <w:kern w:val="0"/>
          <w:szCs w:val="21"/>
        </w:rPr>
        <w:t>3</w:t>
      </w:r>
      <w:r w:rsidRPr="00DD744C">
        <w:rPr>
          <w:rFonts w:hAnsi="宋体" w:cs="Arial"/>
          <w:color w:val="000000"/>
          <w:kern w:val="0"/>
          <w:szCs w:val="21"/>
        </w:rPr>
        <w:t>．</w:t>
      </w:r>
      <w:r w:rsidRPr="00DD744C">
        <w:rPr>
          <w:rFonts w:cs="Arial"/>
          <w:color w:val="000000"/>
          <w:kern w:val="0"/>
          <w:szCs w:val="21"/>
        </w:rPr>
        <w:t>*****</w:t>
      </w:r>
      <w:r w:rsidRPr="00DD744C">
        <w:rPr>
          <w:rFonts w:hAnsi="宋体" w:cs="Arial"/>
          <w:color w:val="000000"/>
          <w:kern w:val="0"/>
          <w:szCs w:val="21"/>
        </w:rPr>
        <w:t>（部门）</w:t>
      </w:r>
      <w:r w:rsidRPr="00DD744C">
        <w:rPr>
          <w:rFonts w:cs="Arial"/>
          <w:color w:val="000000"/>
          <w:kern w:val="0"/>
          <w:szCs w:val="21"/>
        </w:rPr>
        <w:t>2012</w:t>
      </w:r>
      <w:r w:rsidRPr="00DD744C">
        <w:rPr>
          <w:rFonts w:hAnsi="宋体" w:cs="Arial"/>
          <w:color w:val="000000"/>
          <w:kern w:val="0"/>
          <w:szCs w:val="21"/>
        </w:rPr>
        <w:t>年国库集中支付制度改革政府性基金预算资金范围划分明细建议表</w:t>
      </w:r>
    </w:p>
    <w:p w:rsidR="00E809F9" w:rsidRPr="001124AB" w:rsidRDefault="00E809F9" w:rsidP="00E809F9">
      <w:pPr>
        <w:snapToGrid w:val="0"/>
        <w:spacing w:line="360" w:lineRule="exact"/>
        <w:jc w:val="left"/>
        <w:rPr>
          <w:rFonts w:hAnsi="宋体" w:cs="Arial"/>
          <w:color w:val="000000"/>
          <w:kern w:val="0"/>
          <w:szCs w:val="21"/>
        </w:rPr>
      </w:pPr>
      <w:r>
        <w:rPr>
          <w:rFonts w:hAnsi="宋体" w:cs="Arial" w:hint="eastAsia"/>
          <w:color w:val="000000"/>
          <w:kern w:val="0"/>
          <w:szCs w:val="21"/>
        </w:rPr>
        <w:t>（略）</w:t>
      </w:r>
    </w:p>
    <w:p w:rsidR="00E809F9" w:rsidRPr="00DD744C" w:rsidRDefault="00E809F9" w:rsidP="00E809F9">
      <w:pPr>
        <w:snapToGrid w:val="0"/>
        <w:spacing w:line="360" w:lineRule="exact"/>
        <w:ind w:firstLineChars="200" w:firstLine="420"/>
        <w:jc w:val="left"/>
        <w:rPr>
          <w:rFonts w:cs="Arial"/>
          <w:color w:val="000000"/>
          <w:kern w:val="0"/>
          <w:szCs w:val="21"/>
        </w:rPr>
      </w:pPr>
      <w:r w:rsidRPr="00DD744C">
        <w:rPr>
          <w:rFonts w:cs="Arial"/>
          <w:color w:val="000000"/>
          <w:kern w:val="0"/>
          <w:szCs w:val="21"/>
        </w:rPr>
        <w:t>4</w:t>
      </w:r>
      <w:r w:rsidRPr="00DD744C">
        <w:rPr>
          <w:rFonts w:hAnsi="宋体" w:cs="Arial"/>
          <w:color w:val="000000"/>
          <w:kern w:val="0"/>
          <w:szCs w:val="21"/>
        </w:rPr>
        <w:t>．填报说明及注意事项</w:t>
      </w:r>
      <w:r>
        <w:rPr>
          <w:rFonts w:hAnsi="宋体" w:cs="Arial" w:hint="eastAsia"/>
          <w:color w:val="000000"/>
          <w:kern w:val="0"/>
          <w:szCs w:val="21"/>
        </w:rPr>
        <w:t>（略）</w:t>
      </w:r>
    </w:p>
    <w:p w:rsidR="00E809F9" w:rsidRPr="00DD744C" w:rsidRDefault="00E809F9" w:rsidP="00E809F9">
      <w:pPr>
        <w:snapToGrid w:val="0"/>
        <w:spacing w:line="360" w:lineRule="exact"/>
        <w:ind w:firstLineChars="200" w:firstLine="420"/>
        <w:jc w:val="left"/>
        <w:rPr>
          <w:rFonts w:cs="Arial"/>
          <w:color w:val="000000"/>
          <w:kern w:val="0"/>
          <w:szCs w:val="21"/>
        </w:rPr>
      </w:pPr>
    </w:p>
    <w:p w:rsidR="00E809F9" w:rsidRPr="00DD744C" w:rsidRDefault="00E809F9" w:rsidP="00E809F9">
      <w:pPr>
        <w:snapToGrid w:val="0"/>
        <w:spacing w:line="360" w:lineRule="exact"/>
        <w:ind w:firstLineChars="200" w:firstLine="420"/>
        <w:jc w:val="left"/>
        <w:rPr>
          <w:rFonts w:cs="Arial"/>
          <w:color w:val="000000"/>
          <w:kern w:val="0"/>
          <w:szCs w:val="21"/>
        </w:rPr>
      </w:pPr>
    </w:p>
    <w:p w:rsidR="00E809F9" w:rsidRPr="00DD744C" w:rsidRDefault="00E809F9" w:rsidP="00E809F9">
      <w:pPr>
        <w:snapToGrid w:val="0"/>
        <w:spacing w:line="360" w:lineRule="exact"/>
        <w:ind w:firstLineChars="2450" w:firstLine="5145"/>
        <w:jc w:val="left"/>
        <w:rPr>
          <w:rFonts w:cs="Arial"/>
          <w:color w:val="000000"/>
          <w:kern w:val="0"/>
          <w:szCs w:val="21"/>
        </w:rPr>
      </w:pPr>
      <w:r w:rsidRPr="00DD744C">
        <w:rPr>
          <w:rFonts w:hAnsi="宋体" w:cs="Arial"/>
          <w:color w:val="000000"/>
          <w:kern w:val="0"/>
          <w:szCs w:val="21"/>
        </w:rPr>
        <w:t>财政部</w:t>
      </w:r>
    </w:p>
    <w:p w:rsidR="00E809F9" w:rsidRPr="00DD744C" w:rsidRDefault="00E809F9" w:rsidP="00E809F9">
      <w:pPr>
        <w:snapToGrid w:val="0"/>
        <w:spacing w:line="360" w:lineRule="exact"/>
        <w:ind w:firstLineChars="2150" w:firstLine="4515"/>
        <w:jc w:val="left"/>
        <w:rPr>
          <w:rFonts w:cs="Arial"/>
          <w:b/>
          <w:bCs/>
          <w:color w:val="000000"/>
          <w:kern w:val="0"/>
          <w:szCs w:val="21"/>
        </w:rPr>
      </w:pPr>
      <w:r w:rsidRPr="00DD744C">
        <w:rPr>
          <w:rFonts w:hAnsi="宋体" w:cs="Arial"/>
          <w:color w:val="000000"/>
          <w:kern w:val="0"/>
          <w:szCs w:val="21"/>
        </w:rPr>
        <w:t>二</w:t>
      </w:r>
      <w:r>
        <w:rPr>
          <w:rFonts w:cs="Arial" w:hint="eastAsia"/>
          <w:color w:val="000000"/>
          <w:kern w:val="0"/>
          <w:szCs w:val="21"/>
        </w:rPr>
        <w:t>○</w:t>
      </w:r>
      <w:r w:rsidRPr="00DD744C">
        <w:rPr>
          <w:rFonts w:hAnsi="宋体" w:cs="Arial"/>
          <w:color w:val="000000"/>
          <w:kern w:val="0"/>
          <w:szCs w:val="21"/>
        </w:rPr>
        <w:t>一一年十二月三日</w:t>
      </w:r>
    </w:p>
    <w:p w:rsidR="00E809F9" w:rsidRPr="00D2622B" w:rsidRDefault="00E809F9" w:rsidP="00E809F9">
      <w:pPr>
        <w:snapToGrid w:val="0"/>
        <w:spacing w:line="360" w:lineRule="auto"/>
        <w:ind w:firstLineChars="200" w:firstLine="480"/>
        <w:rPr>
          <w:rFonts w:ascii="华文细黑" w:eastAsia="华文细黑" w:hAnsi="华文细黑"/>
          <w:color w:val="000000"/>
          <w:sz w:val="24"/>
        </w:rPr>
      </w:pPr>
    </w:p>
    <w:p w:rsidR="00166C9A" w:rsidRPr="00E809F9" w:rsidRDefault="00166C9A"/>
    <w:sectPr w:rsidR="00166C9A" w:rsidRPr="00E809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F9"/>
    <w:rsid w:val="00166C9A"/>
    <w:rsid w:val="006345B1"/>
    <w:rsid w:val="00E80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F9"/>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E809F9"/>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809F9"/>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F9"/>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E809F9"/>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809F9"/>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2909</Characters>
  <Application>Microsoft Office Word</Application>
  <DocSecurity>0</DocSecurity>
  <Lines>24</Lines>
  <Paragraphs>6</Paragraphs>
  <ScaleCrop>false</ScaleCrop>
  <Company>china</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2016-11-05T08:55:00Z</dcterms:created>
  <dcterms:modified xsi:type="dcterms:W3CDTF">2016-11-05T08:55:00Z</dcterms:modified>
</cp:coreProperties>
</file>