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4D" w:rsidRPr="00E13671" w:rsidRDefault="00C85D4D" w:rsidP="00E13671">
      <w:pPr>
        <w:jc w:val="center"/>
        <w:rPr>
          <w:b/>
          <w:sz w:val="28"/>
        </w:rPr>
      </w:pPr>
      <w:r w:rsidRPr="00C85D4D">
        <w:rPr>
          <w:rFonts w:hint="eastAsia"/>
          <w:b/>
          <w:sz w:val="28"/>
        </w:rPr>
        <w:t>关于规范研究生学位论文评阅与答辩费报账</w:t>
      </w:r>
      <w:r w:rsidR="00560268">
        <w:rPr>
          <w:rFonts w:hint="eastAsia"/>
          <w:b/>
          <w:sz w:val="28"/>
        </w:rPr>
        <w:t>要求</w:t>
      </w:r>
      <w:r w:rsidRPr="00C85D4D">
        <w:rPr>
          <w:rFonts w:hint="eastAsia"/>
          <w:b/>
          <w:sz w:val="28"/>
        </w:rPr>
        <w:t>的通知</w:t>
      </w:r>
    </w:p>
    <w:p w:rsidR="00C85D4D" w:rsidRPr="00FC3AC5" w:rsidRDefault="00C85D4D" w:rsidP="00C85D4D">
      <w:pPr>
        <w:spacing w:line="360" w:lineRule="auto"/>
        <w:rPr>
          <w:b/>
          <w:sz w:val="24"/>
        </w:rPr>
      </w:pPr>
      <w:r w:rsidRPr="00FC3AC5">
        <w:rPr>
          <w:rFonts w:hint="eastAsia"/>
          <w:b/>
          <w:sz w:val="24"/>
        </w:rPr>
        <w:t>一、</w:t>
      </w:r>
      <w:r w:rsidRPr="00FC3AC5">
        <w:rPr>
          <w:rFonts w:hint="eastAsia"/>
          <w:b/>
          <w:sz w:val="24"/>
        </w:rPr>
        <w:t xml:space="preserve">  </w:t>
      </w:r>
      <w:r w:rsidRPr="00FC3AC5">
        <w:rPr>
          <w:rFonts w:hint="eastAsia"/>
          <w:b/>
          <w:sz w:val="24"/>
        </w:rPr>
        <w:t>报账方式</w:t>
      </w:r>
    </w:p>
    <w:p w:rsidR="00C85D4D" w:rsidRPr="00920F78" w:rsidRDefault="00C85D4D" w:rsidP="00C85D4D">
      <w:pPr>
        <w:spacing w:line="360" w:lineRule="auto"/>
        <w:rPr>
          <w:b/>
          <w:sz w:val="24"/>
        </w:rPr>
      </w:pPr>
      <w:r w:rsidRPr="00920F78">
        <w:rPr>
          <w:rFonts w:hint="eastAsia"/>
          <w:b/>
          <w:sz w:val="24"/>
        </w:rPr>
        <w:t>（一）论文制作费</w:t>
      </w:r>
    </w:p>
    <w:p w:rsidR="00C85D4D" w:rsidRPr="00E13671" w:rsidRDefault="00C85D4D" w:rsidP="00C85D4D">
      <w:pPr>
        <w:spacing w:line="360" w:lineRule="auto"/>
        <w:rPr>
          <w:sz w:val="24"/>
        </w:rPr>
      </w:pPr>
      <w:r w:rsidRPr="00E13671">
        <w:rPr>
          <w:rFonts w:hint="eastAsia"/>
          <w:sz w:val="24"/>
        </w:rPr>
        <w:t>由研究生院或学院按各学院答辩人数以校内转账方式转入</w:t>
      </w:r>
      <w:r w:rsidR="00593A8D">
        <w:rPr>
          <w:rFonts w:hint="eastAsia"/>
          <w:sz w:val="24"/>
        </w:rPr>
        <w:t>学校</w:t>
      </w:r>
      <w:r w:rsidRPr="00E13671">
        <w:rPr>
          <w:rFonts w:hint="eastAsia"/>
          <w:sz w:val="24"/>
        </w:rPr>
        <w:t>图文中心。</w:t>
      </w:r>
    </w:p>
    <w:p w:rsidR="00560268" w:rsidRDefault="00C85D4D" w:rsidP="00C85D4D">
      <w:pPr>
        <w:spacing w:line="360" w:lineRule="auto"/>
        <w:rPr>
          <w:b/>
          <w:sz w:val="24"/>
        </w:rPr>
      </w:pPr>
      <w:r w:rsidRPr="00920F78">
        <w:rPr>
          <w:rFonts w:hint="eastAsia"/>
          <w:b/>
          <w:sz w:val="24"/>
        </w:rPr>
        <w:t>（二）</w:t>
      </w:r>
      <w:r w:rsidR="00660C1E">
        <w:rPr>
          <w:rFonts w:hint="eastAsia"/>
          <w:b/>
          <w:sz w:val="24"/>
        </w:rPr>
        <w:t>论文</w:t>
      </w:r>
      <w:r w:rsidRPr="00920F78">
        <w:rPr>
          <w:rFonts w:hint="eastAsia"/>
          <w:b/>
          <w:sz w:val="24"/>
        </w:rPr>
        <w:t>评阅费</w:t>
      </w:r>
    </w:p>
    <w:p w:rsidR="00C85D4D" w:rsidRPr="00920F78" w:rsidRDefault="00560268" w:rsidP="00C85D4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1.</w:t>
      </w:r>
      <w:r w:rsidRPr="00920F78">
        <w:rPr>
          <w:rFonts w:hint="eastAsia"/>
          <w:b/>
          <w:sz w:val="24"/>
        </w:rPr>
        <w:t>盲审</w:t>
      </w:r>
    </w:p>
    <w:p w:rsidR="0088484C" w:rsidRDefault="00C85D4D" w:rsidP="00C85D4D">
      <w:pPr>
        <w:spacing w:line="360" w:lineRule="auto"/>
        <w:rPr>
          <w:sz w:val="24"/>
        </w:rPr>
      </w:pPr>
      <w:r w:rsidRPr="00E13671">
        <w:rPr>
          <w:rFonts w:hint="eastAsia"/>
          <w:sz w:val="24"/>
        </w:rPr>
        <w:t>按相关规定进行匿名评审不公开专家个人信息的</w:t>
      </w:r>
      <w:r w:rsidR="00660C1E">
        <w:rPr>
          <w:rFonts w:hint="eastAsia"/>
          <w:sz w:val="24"/>
        </w:rPr>
        <w:t>论文</w:t>
      </w:r>
      <w:r w:rsidRPr="00E13671">
        <w:rPr>
          <w:rFonts w:hint="eastAsia"/>
          <w:sz w:val="24"/>
        </w:rPr>
        <w:t>评阅费，可以预先借款，冲销时无需通过“薪酬个税管理系统”制单</w:t>
      </w:r>
      <w:r w:rsidR="0088484C">
        <w:rPr>
          <w:rFonts w:hint="eastAsia"/>
          <w:sz w:val="24"/>
        </w:rPr>
        <w:t>，并附以下材料：</w:t>
      </w:r>
    </w:p>
    <w:p w:rsidR="00D50EC9" w:rsidRDefault="0088484C" w:rsidP="00C85D4D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757F7A">
        <w:rPr>
          <w:rFonts w:hint="eastAsia"/>
          <w:sz w:val="24"/>
        </w:rPr>
        <w:t>在财务管理信息系统填制的</w:t>
      </w:r>
      <w:r w:rsidR="000B49F8">
        <w:rPr>
          <w:rFonts w:hint="eastAsia"/>
          <w:sz w:val="24"/>
        </w:rPr>
        <w:t>网上报销确认单</w:t>
      </w:r>
      <w:r w:rsidR="00D50EC9">
        <w:rPr>
          <w:rFonts w:hint="eastAsia"/>
          <w:sz w:val="24"/>
        </w:rPr>
        <w:t>；</w:t>
      </w:r>
    </w:p>
    <w:p w:rsidR="0088484C" w:rsidRDefault="0088484C" w:rsidP="00C85D4D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C85D4D" w:rsidRPr="00E13671">
        <w:rPr>
          <w:rFonts w:hint="eastAsia"/>
          <w:sz w:val="24"/>
        </w:rPr>
        <w:t>论文送评学生名单，名单上要注明评阅专家人数及“按规定匿名评阅专家个人信息不予公开”字样</w:t>
      </w:r>
      <w:r w:rsidR="00D50EC9">
        <w:rPr>
          <w:rFonts w:hint="eastAsia"/>
          <w:sz w:val="24"/>
        </w:rPr>
        <w:t>；</w:t>
      </w:r>
    </w:p>
    <w:p w:rsidR="00C85D4D" w:rsidRPr="00E13671" w:rsidRDefault="0088484C" w:rsidP="00C85D4D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C85D4D" w:rsidRPr="003A3647">
        <w:rPr>
          <w:rFonts w:hint="eastAsia"/>
          <w:sz w:val="24"/>
          <w:u w:val="wave"/>
        </w:rPr>
        <w:t>加盖</w:t>
      </w:r>
      <w:r>
        <w:rPr>
          <w:rFonts w:hint="eastAsia"/>
          <w:sz w:val="24"/>
          <w:u w:val="wave"/>
        </w:rPr>
        <w:t>评阅</w:t>
      </w:r>
      <w:r w:rsidR="00C85D4D" w:rsidRPr="003A3647">
        <w:rPr>
          <w:rFonts w:hint="eastAsia"/>
          <w:sz w:val="24"/>
          <w:u w:val="wave"/>
        </w:rPr>
        <w:t>单位公章</w:t>
      </w:r>
      <w:r w:rsidR="00C85D4D" w:rsidRPr="00E13671">
        <w:rPr>
          <w:rFonts w:hint="eastAsia"/>
          <w:sz w:val="24"/>
        </w:rPr>
        <w:t>的</w:t>
      </w:r>
      <w:r>
        <w:rPr>
          <w:rFonts w:hint="eastAsia"/>
          <w:sz w:val="24"/>
        </w:rPr>
        <w:t>收款</w:t>
      </w:r>
      <w:r w:rsidR="00C85D4D" w:rsidRPr="00E13671">
        <w:rPr>
          <w:rFonts w:hint="eastAsia"/>
          <w:sz w:val="24"/>
        </w:rPr>
        <w:t>收据或转账汇款支付凭据。</w:t>
      </w:r>
    </w:p>
    <w:p w:rsidR="00C85D4D" w:rsidRPr="00920F78" w:rsidRDefault="00560268" w:rsidP="00C85D4D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2.</w:t>
      </w:r>
      <w:proofErr w:type="gramStart"/>
      <w:r w:rsidR="00C85D4D" w:rsidRPr="00920F78">
        <w:rPr>
          <w:rFonts w:hint="eastAsia"/>
          <w:b/>
          <w:sz w:val="24"/>
        </w:rPr>
        <w:t>非盲审</w:t>
      </w:r>
      <w:proofErr w:type="gramEnd"/>
    </w:p>
    <w:p w:rsidR="00C85D4D" w:rsidRPr="00E13671" w:rsidRDefault="00C85D4D" w:rsidP="00C85D4D">
      <w:pPr>
        <w:spacing w:line="360" w:lineRule="auto"/>
        <w:rPr>
          <w:sz w:val="24"/>
        </w:rPr>
      </w:pPr>
      <w:r w:rsidRPr="00E13671">
        <w:rPr>
          <w:rFonts w:hint="eastAsia"/>
          <w:sz w:val="24"/>
        </w:rPr>
        <w:t>按规定可以确定专家个人信息的</w:t>
      </w:r>
      <w:r w:rsidR="00660C1E">
        <w:rPr>
          <w:rFonts w:hint="eastAsia"/>
          <w:sz w:val="24"/>
        </w:rPr>
        <w:t>论文</w:t>
      </w:r>
      <w:r w:rsidRPr="00E13671">
        <w:rPr>
          <w:rFonts w:hint="eastAsia"/>
          <w:sz w:val="24"/>
        </w:rPr>
        <w:t>评阅费应根据下述答辩劳务费发放方式处理。</w:t>
      </w:r>
    </w:p>
    <w:p w:rsidR="00C85D4D" w:rsidRPr="00920F78" w:rsidRDefault="00C85D4D" w:rsidP="00C85D4D">
      <w:pPr>
        <w:spacing w:line="360" w:lineRule="auto"/>
        <w:rPr>
          <w:b/>
          <w:sz w:val="24"/>
        </w:rPr>
      </w:pPr>
      <w:r w:rsidRPr="00920F78">
        <w:rPr>
          <w:rFonts w:hint="eastAsia"/>
          <w:b/>
          <w:sz w:val="24"/>
        </w:rPr>
        <w:t>（</w:t>
      </w:r>
      <w:r w:rsidR="0088484C">
        <w:rPr>
          <w:rFonts w:hint="eastAsia"/>
          <w:b/>
          <w:sz w:val="24"/>
        </w:rPr>
        <w:t>三</w:t>
      </w:r>
      <w:r w:rsidRPr="00920F78">
        <w:rPr>
          <w:rFonts w:hint="eastAsia"/>
          <w:b/>
          <w:sz w:val="24"/>
        </w:rPr>
        <w:t>）答辩劳务费</w:t>
      </w:r>
    </w:p>
    <w:p w:rsidR="00C85D4D" w:rsidRPr="00E13671" w:rsidRDefault="00C85D4D" w:rsidP="00C85D4D">
      <w:pPr>
        <w:spacing w:line="360" w:lineRule="auto"/>
        <w:rPr>
          <w:sz w:val="24"/>
        </w:rPr>
      </w:pPr>
      <w:r w:rsidRPr="00E13671">
        <w:rPr>
          <w:rFonts w:hint="eastAsia"/>
          <w:sz w:val="24"/>
        </w:rPr>
        <w:t>答辩劳务费须通过“薪酬个税管理系统”</w:t>
      </w:r>
      <w:r w:rsidR="0088484C" w:rsidRPr="0088484C">
        <w:rPr>
          <w:rFonts w:hint="eastAsia"/>
          <w:sz w:val="24"/>
        </w:rPr>
        <w:t xml:space="preserve"> </w:t>
      </w:r>
      <w:r w:rsidR="0088484C" w:rsidRPr="00E13671">
        <w:rPr>
          <w:rFonts w:hint="eastAsia"/>
          <w:sz w:val="24"/>
        </w:rPr>
        <w:t>按人员类别分模板</w:t>
      </w:r>
      <w:r w:rsidRPr="00E13671">
        <w:rPr>
          <w:rFonts w:hint="eastAsia"/>
          <w:sz w:val="24"/>
        </w:rPr>
        <w:t>制单，并</w:t>
      </w:r>
      <w:r w:rsidR="0088484C">
        <w:rPr>
          <w:rFonts w:hint="eastAsia"/>
          <w:sz w:val="24"/>
        </w:rPr>
        <w:t>采用</w:t>
      </w:r>
      <w:r w:rsidRPr="00E13671">
        <w:rPr>
          <w:rFonts w:hint="eastAsia"/>
          <w:sz w:val="24"/>
        </w:rPr>
        <w:t>“银行代发”方式导盘发放。</w:t>
      </w:r>
    </w:p>
    <w:p w:rsidR="00C85D4D" w:rsidRPr="00E13671" w:rsidRDefault="00ED0115" w:rsidP="00C85D4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="00C85D4D" w:rsidRPr="00E13671">
        <w:rPr>
          <w:rFonts w:hint="eastAsia"/>
          <w:sz w:val="24"/>
        </w:rPr>
        <w:t>校内</w:t>
      </w:r>
      <w:r w:rsidR="00AE34AD">
        <w:rPr>
          <w:rFonts w:hint="eastAsia"/>
          <w:sz w:val="24"/>
        </w:rPr>
        <w:t>教</w:t>
      </w:r>
      <w:r w:rsidR="00C85D4D" w:rsidRPr="00E13671">
        <w:rPr>
          <w:rFonts w:hint="eastAsia"/>
          <w:sz w:val="24"/>
        </w:rPr>
        <w:t>职工用《校内教职工劳务酬金</w:t>
      </w:r>
      <w:r w:rsidR="00C85D4D" w:rsidRPr="00E13671">
        <w:rPr>
          <w:rFonts w:hint="eastAsia"/>
          <w:sz w:val="24"/>
        </w:rPr>
        <w:t>-</w:t>
      </w:r>
      <w:r w:rsidR="00C85D4D" w:rsidRPr="00E13671">
        <w:rPr>
          <w:rFonts w:hint="eastAsia"/>
          <w:sz w:val="24"/>
        </w:rPr>
        <w:t>毕业答辩（应发）（网报）》模板制</w:t>
      </w:r>
      <w:r w:rsidR="0088484C">
        <w:rPr>
          <w:rFonts w:hint="eastAsia"/>
          <w:sz w:val="24"/>
        </w:rPr>
        <w:t>单</w:t>
      </w:r>
      <w:r w:rsidR="00C85D4D" w:rsidRPr="00E13671">
        <w:rPr>
          <w:rFonts w:hint="eastAsia"/>
          <w:sz w:val="24"/>
        </w:rPr>
        <w:t>；</w:t>
      </w:r>
    </w:p>
    <w:p w:rsidR="00C85D4D" w:rsidRDefault="00ED0115" w:rsidP="00C85D4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="00C85D4D" w:rsidRPr="00E13671">
        <w:rPr>
          <w:rFonts w:hint="eastAsia"/>
          <w:sz w:val="24"/>
        </w:rPr>
        <w:t>校外人员或参与答辩工作的在校学生用《校外</w:t>
      </w:r>
      <w:r w:rsidR="00A46318">
        <w:rPr>
          <w:rFonts w:hint="eastAsia"/>
          <w:sz w:val="24"/>
        </w:rPr>
        <w:t>人员</w:t>
      </w:r>
      <w:r w:rsidR="00C85D4D" w:rsidRPr="00E13671">
        <w:rPr>
          <w:rFonts w:hint="eastAsia"/>
          <w:sz w:val="24"/>
        </w:rPr>
        <w:t>及学生劳务费</w:t>
      </w:r>
      <w:r w:rsidR="00C85D4D" w:rsidRPr="00E13671">
        <w:rPr>
          <w:rFonts w:hint="eastAsia"/>
          <w:sz w:val="24"/>
        </w:rPr>
        <w:t>-</w:t>
      </w:r>
      <w:r w:rsidR="00C85D4D" w:rsidRPr="00E13671">
        <w:rPr>
          <w:rFonts w:hint="eastAsia"/>
          <w:sz w:val="24"/>
        </w:rPr>
        <w:t>毕业答辩（应发）（网报）》模板</w:t>
      </w:r>
      <w:r w:rsidRPr="00E13671">
        <w:rPr>
          <w:rFonts w:hint="eastAsia"/>
          <w:sz w:val="24"/>
        </w:rPr>
        <w:t>制</w:t>
      </w:r>
      <w:r>
        <w:rPr>
          <w:rFonts w:hint="eastAsia"/>
          <w:sz w:val="24"/>
        </w:rPr>
        <w:t>单</w:t>
      </w:r>
      <w:r w:rsidR="00C85D4D" w:rsidRPr="00E13671">
        <w:rPr>
          <w:rFonts w:hint="eastAsia"/>
          <w:sz w:val="24"/>
        </w:rPr>
        <w:t>。</w:t>
      </w:r>
    </w:p>
    <w:p w:rsidR="0088484C" w:rsidRPr="00920F78" w:rsidRDefault="0088484C" w:rsidP="0088484C">
      <w:pPr>
        <w:spacing w:line="360" w:lineRule="auto"/>
        <w:rPr>
          <w:b/>
          <w:sz w:val="24"/>
        </w:rPr>
      </w:pPr>
      <w:r w:rsidRPr="00920F78">
        <w:rPr>
          <w:rFonts w:hint="eastAsia"/>
          <w:b/>
          <w:sz w:val="24"/>
        </w:rPr>
        <w:t>（</w:t>
      </w:r>
      <w:r w:rsidR="00ED0115">
        <w:rPr>
          <w:rFonts w:hint="eastAsia"/>
          <w:b/>
          <w:sz w:val="24"/>
        </w:rPr>
        <w:t>四</w:t>
      </w:r>
      <w:r w:rsidRPr="00920F78">
        <w:rPr>
          <w:rFonts w:hint="eastAsia"/>
          <w:b/>
          <w:sz w:val="24"/>
        </w:rPr>
        <w:t>）答辩误餐及交通补贴</w:t>
      </w:r>
    </w:p>
    <w:p w:rsidR="0088484C" w:rsidRPr="008209A0" w:rsidRDefault="00ED0115" w:rsidP="0088484C">
      <w:pPr>
        <w:spacing w:line="360" w:lineRule="auto"/>
        <w:rPr>
          <w:sz w:val="24"/>
        </w:rPr>
      </w:pPr>
      <w:r w:rsidRPr="008209A0">
        <w:rPr>
          <w:rFonts w:hint="eastAsia"/>
          <w:sz w:val="24"/>
        </w:rPr>
        <w:t>1.</w:t>
      </w:r>
      <w:r w:rsidR="0088484C" w:rsidRPr="008209A0">
        <w:rPr>
          <w:rFonts w:hint="eastAsia"/>
          <w:sz w:val="24"/>
        </w:rPr>
        <w:t>答辩专家</w:t>
      </w:r>
      <w:r w:rsidR="00C67BE2" w:rsidRPr="008209A0">
        <w:rPr>
          <w:rFonts w:hint="eastAsia"/>
          <w:sz w:val="24"/>
        </w:rPr>
        <w:t>及工作人员</w:t>
      </w:r>
      <w:r w:rsidR="0088484C" w:rsidRPr="008209A0">
        <w:rPr>
          <w:rFonts w:hint="eastAsia"/>
          <w:sz w:val="24"/>
        </w:rPr>
        <w:t>误餐费按学校加班</w:t>
      </w:r>
      <w:r w:rsidR="00C67BE2" w:rsidRPr="008209A0">
        <w:rPr>
          <w:rFonts w:hint="eastAsia"/>
          <w:sz w:val="24"/>
        </w:rPr>
        <w:t>餐</w:t>
      </w:r>
      <w:r w:rsidR="0088484C" w:rsidRPr="008209A0">
        <w:rPr>
          <w:rFonts w:hint="eastAsia"/>
          <w:sz w:val="24"/>
        </w:rPr>
        <w:t>费管理规定</w:t>
      </w:r>
      <w:r w:rsidR="00C67BE2" w:rsidRPr="008209A0">
        <w:rPr>
          <w:rFonts w:hint="eastAsia"/>
          <w:sz w:val="24"/>
        </w:rPr>
        <w:t>在</w:t>
      </w:r>
      <w:r w:rsidR="00C67BE2" w:rsidRPr="008209A0">
        <w:rPr>
          <w:rFonts w:hint="eastAsia"/>
          <w:sz w:val="24"/>
        </w:rPr>
        <w:t>40</w:t>
      </w:r>
      <w:r w:rsidR="00C67BE2" w:rsidRPr="008209A0">
        <w:rPr>
          <w:rFonts w:hint="eastAsia"/>
          <w:sz w:val="24"/>
        </w:rPr>
        <w:t>元</w:t>
      </w:r>
      <w:r w:rsidR="00C67BE2" w:rsidRPr="008209A0">
        <w:rPr>
          <w:rFonts w:hint="eastAsia"/>
          <w:sz w:val="24"/>
        </w:rPr>
        <w:t>/</w:t>
      </w:r>
      <w:r w:rsidR="00C67BE2" w:rsidRPr="008209A0">
        <w:rPr>
          <w:rFonts w:hint="eastAsia"/>
          <w:sz w:val="24"/>
        </w:rPr>
        <w:t>次</w:t>
      </w:r>
      <w:r w:rsidR="00C67BE2" w:rsidRPr="008209A0">
        <w:rPr>
          <w:rFonts w:hint="eastAsia"/>
          <w:sz w:val="24"/>
        </w:rPr>
        <w:t>/</w:t>
      </w:r>
      <w:r w:rsidR="00C67BE2" w:rsidRPr="008209A0">
        <w:rPr>
          <w:rFonts w:hint="eastAsia"/>
          <w:sz w:val="24"/>
        </w:rPr>
        <w:t>人的标准内凭票据实报销</w:t>
      </w:r>
      <w:r w:rsidR="0088484C" w:rsidRPr="008209A0">
        <w:rPr>
          <w:rFonts w:hint="eastAsia"/>
          <w:sz w:val="24"/>
        </w:rPr>
        <w:t>。</w:t>
      </w:r>
    </w:p>
    <w:p w:rsidR="00ED0115" w:rsidRPr="008209A0" w:rsidRDefault="00ED0115" w:rsidP="0088484C">
      <w:pPr>
        <w:spacing w:line="360" w:lineRule="auto"/>
        <w:rPr>
          <w:sz w:val="24"/>
        </w:rPr>
      </w:pPr>
      <w:r w:rsidRPr="008209A0">
        <w:rPr>
          <w:rFonts w:hint="eastAsia"/>
          <w:sz w:val="24"/>
        </w:rPr>
        <w:t>2.</w:t>
      </w:r>
      <w:r w:rsidR="0088484C" w:rsidRPr="008209A0">
        <w:rPr>
          <w:rFonts w:hint="eastAsia"/>
          <w:sz w:val="24"/>
        </w:rPr>
        <w:t>校外答辩专家交通补贴</w:t>
      </w:r>
    </w:p>
    <w:p w:rsidR="00593A8D" w:rsidRPr="008209A0" w:rsidRDefault="00593A8D" w:rsidP="0088484C">
      <w:pPr>
        <w:spacing w:line="360" w:lineRule="auto"/>
        <w:rPr>
          <w:sz w:val="24"/>
        </w:rPr>
      </w:pPr>
      <w:r w:rsidRPr="008209A0">
        <w:rPr>
          <w:rFonts w:hint="eastAsia"/>
          <w:sz w:val="24"/>
        </w:rPr>
        <w:t>（</w:t>
      </w:r>
      <w:r w:rsidRPr="008209A0">
        <w:rPr>
          <w:rFonts w:hint="eastAsia"/>
          <w:sz w:val="24"/>
        </w:rPr>
        <w:t>1</w:t>
      </w:r>
      <w:r w:rsidRPr="008209A0">
        <w:rPr>
          <w:rFonts w:hint="eastAsia"/>
          <w:sz w:val="24"/>
        </w:rPr>
        <w:t>）省外答辩专家按学校差旅费管理规定，凭票报销城市间交通费、住宿费。</w:t>
      </w:r>
    </w:p>
    <w:p w:rsidR="0088484C" w:rsidRPr="00AE34AD" w:rsidRDefault="00593A8D" w:rsidP="0088484C">
      <w:pPr>
        <w:spacing w:line="360" w:lineRule="auto"/>
        <w:rPr>
          <w:sz w:val="24"/>
        </w:rPr>
      </w:pPr>
      <w:r w:rsidRPr="008209A0">
        <w:rPr>
          <w:rFonts w:hint="eastAsia"/>
          <w:sz w:val="24"/>
        </w:rPr>
        <w:t>（</w:t>
      </w:r>
      <w:r w:rsidRPr="008209A0">
        <w:rPr>
          <w:rFonts w:hint="eastAsia"/>
          <w:sz w:val="24"/>
        </w:rPr>
        <w:t>2</w:t>
      </w:r>
      <w:r w:rsidRPr="008209A0">
        <w:rPr>
          <w:rFonts w:hint="eastAsia"/>
          <w:sz w:val="24"/>
        </w:rPr>
        <w:t>）</w:t>
      </w:r>
      <w:r w:rsidR="0088484C" w:rsidRPr="008209A0">
        <w:rPr>
          <w:rFonts w:hint="eastAsia"/>
          <w:sz w:val="24"/>
        </w:rPr>
        <w:t>省内专家按</w:t>
      </w:r>
      <w:r w:rsidR="0088484C" w:rsidRPr="008209A0">
        <w:rPr>
          <w:sz w:val="24"/>
        </w:rPr>
        <w:t>100-300</w:t>
      </w:r>
      <w:r w:rsidR="0088484C" w:rsidRPr="008209A0">
        <w:rPr>
          <w:rFonts w:hint="eastAsia"/>
          <w:sz w:val="24"/>
        </w:rPr>
        <w:t>元</w:t>
      </w:r>
      <w:r w:rsidR="0088484C" w:rsidRPr="008209A0">
        <w:rPr>
          <w:sz w:val="24"/>
        </w:rPr>
        <w:t>/</w:t>
      </w:r>
      <w:r w:rsidR="0088484C" w:rsidRPr="008209A0">
        <w:rPr>
          <w:rFonts w:hint="eastAsia"/>
          <w:sz w:val="24"/>
        </w:rPr>
        <w:t>次</w:t>
      </w:r>
      <w:r w:rsidR="0088484C" w:rsidRPr="008209A0">
        <w:rPr>
          <w:sz w:val="24"/>
        </w:rPr>
        <w:t>/</w:t>
      </w:r>
      <w:r w:rsidR="0088484C" w:rsidRPr="008209A0">
        <w:rPr>
          <w:rFonts w:hint="eastAsia"/>
          <w:sz w:val="24"/>
        </w:rPr>
        <w:t>人，在“薪酬个税管理系统”中选择《</w:t>
      </w:r>
      <w:r w:rsidR="00ED0115" w:rsidRPr="008209A0">
        <w:rPr>
          <w:rFonts w:hint="eastAsia"/>
          <w:sz w:val="24"/>
        </w:rPr>
        <w:t>校外专家</w:t>
      </w:r>
      <w:r w:rsidR="0088484C" w:rsidRPr="008209A0">
        <w:rPr>
          <w:rFonts w:hint="eastAsia"/>
          <w:sz w:val="24"/>
        </w:rPr>
        <w:t>劳务费</w:t>
      </w:r>
      <w:r w:rsidR="0088484C" w:rsidRPr="008209A0">
        <w:rPr>
          <w:rFonts w:hint="eastAsia"/>
          <w:sz w:val="24"/>
        </w:rPr>
        <w:t>-</w:t>
      </w:r>
      <w:r w:rsidR="00ED0115" w:rsidRPr="008209A0">
        <w:rPr>
          <w:rFonts w:hint="eastAsia"/>
          <w:sz w:val="24"/>
        </w:rPr>
        <w:t>毕业答辩</w:t>
      </w:r>
      <w:r w:rsidR="0088484C" w:rsidRPr="008209A0">
        <w:rPr>
          <w:rFonts w:hint="eastAsia"/>
          <w:sz w:val="24"/>
        </w:rPr>
        <w:t>交通补贴（应发</w:t>
      </w:r>
      <w:r w:rsidR="0088484C" w:rsidRPr="008209A0">
        <w:rPr>
          <w:rFonts w:hint="eastAsia"/>
          <w:sz w:val="24"/>
        </w:rPr>
        <w:t>-</w:t>
      </w:r>
      <w:r w:rsidR="0088484C" w:rsidRPr="008209A0">
        <w:rPr>
          <w:rFonts w:hint="eastAsia"/>
          <w:sz w:val="24"/>
        </w:rPr>
        <w:t>网报）》模板制单，以“银行代发”</w:t>
      </w:r>
      <w:proofErr w:type="gramStart"/>
      <w:r w:rsidR="0088484C" w:rsidRPr="008209A0">
        <w:rPr>
          <w:rFonts w:hint="eastAsia"/>
          <w:sz w:val="24"/>
        </w:rPr>
        <w:t>方式导盘发放</w:t>
      </w:r>
      <w:proofErr w:type="gramEnd"/>
      <w:r w:rsidR="00112506" w:rsidRPr="008209A0">
        <w:rPr>
          <w:rFonts w:hint="eastAsia"/>
          <w:sz w:val="24"/>
        </w:rPr>
        <w:t>，随答辩劳务费一同报销，不得单独发放。</w:t>
      </w:r>
    </w:p>
    <w:p w:rsidR="0088484C" w:rsidRPr="00660C1E" w:rsidRDefault="0088484C" w:rsidP="00C85D4D">
      <w:pPr>
        <w:spacing w:line="360" w:lineRule="auto"/>
        <w:rPr>
          <w:sz w:val="24"/>
        </w:rPr>
      </w:pPr>
    </w:p>
    <w:p w:rsidR="00C85D4D" w:rsidRPr="00FC3AC5" w:rsidRDefault="00C85D4D" w:rsidP="00C85D4D">
      <w:pPr>
        <w:spacing w:line="360" w:lineRule="auto"/>
        <w:rPr>
          <w:b/>
          <w:sz w:val="24"/>
        </w:rPr>
      </w:pPr>
      <w:r w:rsidRPr="00FC3AC5">
        <w:rPr>
          <w:rFonts w:hint="eastAsia"/>
          <w:b/>
          <w:sz w:val="24"/>
        </w:rPr>
        <w:t>二、报账要求</w:t>
      </w:r>
    </w:p>
    <w:p w:rsidR="004A7FB2" w:rsidRPr="005A74F4" w:rsidRDefault="00C85D4D" w:rsidP="00C85D4D">
      <w:pPr>
        <w:spacing w:line="360" w:lineRule="auto"/>
        <w:rPr>
          <w:sz w:val="24"/>
        </w:rPr>
      </w:pPr>
      <w:r w:rsidRPr="005A74F4">
        <w:rPr>
          <w:sz w:val="24"/>
        </w:rPr>
        <w:t>1</w:t>
      </w:r>
      <w:r w:rsidR="004A7FB2" w:rsidRPr="005A74F4">
        <w:rPr>
          <w:rFonts w:hint="eastAsia"/>
          <w:sz w:val="24"/>
        </w:rPr>
        <w:t>.</w:t>
      </w:r>
      <w:r w:rsidR="004A7FB2" w:rsidRPr="005A74F4">
        <w:rPr>
          <w:rFonts w:hint="eastAsia"/>
          <w:sz w:val="24"/>
        </w:rPr>
        <w:t>除省内校外答辩专家交通补贴外，</w:t>
      </w:r>
      <w:r w:rsidRPr="005A74F4">
        <w:rPr>
          <w:rFonts w:hint="eastAsia"/>
          <w:sz w:val="24"/>
        </w:rPr>
        <w:t>答辩费用可以按上述类别分开报销，但</w:t>
      </w:r>
      <w:r w:rsidRPr="005A74F4">
        <w:rPr>
          <w:rFonts w:hint="eastAsia"/>
          <w:b/>
          <w:sz w:val="24"/>
        </w:rPr>
        <w:t>同一类别费用必须一次性报完</w:t>
      </w:r>
      <w:r w:rsidRPr="005A74F4">
        <w:rPr>
          <w:rFonts w:hint="eastAsia"/>
          <w:sz w:val="24"/>
        </w:rPr>
        <w:t>。</w:t>
      </w:r>
    </w:p>
    <w:p w:rsidR="00C85D4D" w:rsidRPr="005A74F4" w:rsidRDefault="004A7FB2" w:rsidP="00C85D4D">
      <w:pPr>
        <w:spacing w:line="360" w:lineRule="auto"/>
        <w:rPr>
          <w:sz w:val="24"/>
        </w:rPr>
      </w:pPr>
      <w:r w:rsidRPr="005A74F4">
        <w:rPr>
          <w:rFonts w:hint="eastAsia"/>
          <w:sz w:val="24"/>
        </w:rPr>
        <w:t>2.</w:t>
      </w:r>
      <w:r w:rsidR="00C85D4D" w:rsidRPr="005A74F4">
        <w:rPr>
          <w:rFonts w:hint="eastAsia"/>
          <w:sz w:val="24"/>
        </w:rPr>
        <w:t>预先借款的</w:t>
      </w:r>
      <w:proofErr w:type="gramStart"/>
      <w:r w:rsidR="00C85D4D" w:rsidRPr="005A74F4">
        <w:rPr>
          <w:rFonts w:hint="eastAsia"/>
          <w:sz w:val="24"/>
        </w:rPr>
        <w:t>盲审专家</w:t>
      </w:r>
      <w:proofErr w:type="gramEnd"/>
      <w:r w:rsidR="00660C1E" w:rsidRPr="005A74F4">
        <w:rPr>
          <w:rFonts w:hint="eastAsia"/>
          <w:sz w:val="24"/>
        </w:rPr>
        <w:t>论文</w:t>
      </w:r>
      <w:r w:rsidR="00C85D4D" w:rsidRPr="005A74F4">
        <w:rPr>
          <w:rFonts w:hint="eastAsia"/>
          <w:sz w:val="24"/>
        </w:rPr>
        <w:t>评阅费在</w:t>
      </w:r>
      <w:r w:rsidR="00C67BE2">
        <w:rPr>
          <w:rFonts w:hint="eastAsia"/>
          <w:sz w:val="24"/>
        </w:rPr>
        <w:t>财务处</w:t>
      </w:r>
      <w:r w:rsidR="00C85D4D" w:rsidRPr="005A74F4">
        <w:rPr>
          <w:rFonts w:hint="eastAsia"/>
          <w:sz w:val="24"/>
        </w:rPr>
        <w:t>报账大厅</w:t>
      </w:r>
      <w:r w:rsidR="000B49F8">
        <w:rPr>
          <w:rFonts w:hint="eastAsia"/>
          <w:sz w:val="24"/>
        </w:rPr>
        <w:t>或财务专员办公室</w:t>
      </w:r>
      <w:r w:rsidR="00C85D4D" w:rsidRPr="005A74F4">
        <w:rPr>
          <w:rFonts w:hint="eastAsia"/>
          <w:sz w:val="24"/>
        </w:rPr>
        <w:t>办理借款和冲账</w:t>
      </w:r>
      <w:r w:rsidR="000B49F8">
        <w:rPr>
          <w:rFonts w:hint="eastAsia"/>
          <w:sz w:val="24"/>
        </w:rPr>
        <w:t>（使用无纸化报销系统的可直接线上办理借款及冲账，无需交纸质单）</w:t>
      </w:r>
      <w:r w:rsidR="00C85D4D" w:rsidRPr="005A74F4">
        <w:rPr>
          <w:rFonts w:hint="eastAsia"/>
          <w:sz w:val="24"/>
        </w:rPr>
        <w:t>，非预先借款的</w:t>
      </w:r>
      <w:r w:rsidR="00593A8D" w:rsidRPr="005A74F4">
        <w:rPr>
          <w:rFonts w:hint="eastAsia"/>
          <w:sz w:val="24"/>
        </w:rPr>
        <w:t>专家</w:t>
      </w:r>
      <w:r w:rsidR="00C85D4D" w:rsidRPr="005A74F4">
        <w:rPr>
          <w:rFonts w:hint="eastAsia"/>
          <w:sz w:val="24"/>
        </w:rPr>
        <w:t>评阅</w:t>
      </w:r>
      <w:r w:rsidR="00593A8D" w:rsidRPr="005A74F4">
        <w:rPr>
          <w:rFonts w:hint="eastAsia"/>
          <w:sz w:val="24"/>
        </w:rPr>
        <w:t>劳务</w:t>
      </w:r>
      <w:r w:rsidR="00C85D4D" w:rsidRPr="005A74F4">
        <w:rPr>
          <w:rFonts w:hint="eastAsia"/>
          <w:sz w:val="24"/>
        </w:rPr>
        <w:t>费</w:t>
      </w:r>
      <w:r w:rsidR="00593A8D" w:rsidRPr="005A74F4">
        <w:rPr>
          <w:rFonts w:hint="eastAsia"/>
          <w:sz w:val="24"/>
        </w:rPr>
        <w:t>、答辩劳务费及</w:t>
      </w:r>
      <w:r w:rsidR="00C85D4D" w:rsidRPr="005A74F4">
        <w:rPr>
          <w:rFonts w:hint="eastAsia"/>
          <w:sz w:val="24"/>
        </w:rPr>
        <w:t>答辩专家交通补贴在薪酬</w:t>
      </w:r>
      <w:r w:rsidR="00593A8D" w:rsidRPr="005A74F4">
        <w:rPr>
          <w:rFonts w:hint="eastAsia"/>
          <w:sz w:val="24"/>
        </w:rPr>
        <w:t>结算</w:t>
      </w:r>
      <w:r w:rsidR="00C85D4D" w:rsidRPr="005A74F4">
        <w:rPr>
          <w:rFonts w:hint="eastAsia"/>
          <w:sz w:val="24"/>
        </w:rPr>
        <w:t>科通过银行导盘于月末发放。</w:t>
      </w:r>
    </w:p>
    <w:p w:rsidR="0025736D" w:rsidRDefault="004A7FB2" w:rsidP="00C85D4D">
      <w:pPr>
        <w:spacing w:line="360" w:lineRule="auto"/>
        <w:rPr>
          <w:sz w:val="24"/>
        </w:rPr>
      </w:pPr>
      <w:r w:rsidRPr="005A74F4">
        <w:rPr>
          <w:rFonts w:hint="eastAsia"/>
          <w:sz w:val="24"/>
        </w:rPr>
        <w:t>3.</w:t>
      </w:r>
      <w:r w:rsidR="00C85D4D" w:rsidRPr="005A74F4">
        <w:rPr>
          <w:rFonts w:hint="eastAsia"/>
          <w:sz w:val="24"/>
        </w:rPr>
        <w:t>除答辩误餐费外，所有费用在报销时均须附</w:t>
      </w:r>
      <w:r w:rsidR="00C85D4D" w:rsidRPr="005A74F4">
        <w:rPr>
          <w:rFonts w:hint="eastAsia"/>
          <w:b/>
          <w:sz w:val="24"/>
        </w:rPr>
        <w:t>加盖单位公章</w:t>
      </w:r>
      <w:r w:rsidR="00C85D4D" w:rsidRPr="005A74F4">
        <w:rPr>
          <w:rFonts w:hint="eastAsia"/>
          <w:sz w:val="24"/>
        </w:rPr>
        <w:t>的学生名单，如参与评审（分别列示</w:t>
      </w:r>
      <w:proofErr w:type="gramStart"/>
      <w:r w:rsidR="00C85D4D" w:rsidRPr="005A74F4">
        <w:rPr>
          <w:rFonts w:hint="eastAsia"/>
          <w:sz w:val="24"/>
        </w:rPr>
        <w:t>盲审与非盲审</w:t>
      </w:r>
      <w:proofErr w:type="gramEnd"/>
      <w:r w:rsidR="00C85D4D" w:rsidRPr="005A74F4">
        <w:rPr>
          <w:rFonts w:hint="eastAsia"/>
          <w:sz w:val="24"/>
        </w:rPr>
        <w:t>）或参加答辩的学生学号、姓名、标准、总人数、总金额等，同时在答辩学生名单“备注”栏写上学生学位类型。</w:t>
      </w:r>
    </w:p>
    <w:p w:rsidR="009D3912" w:rsidRPr="00397062" w:rsidRDefault="009D3912" w:rsidP="00C85D4D">
      <w:pPr>
        <w:spacing w:line="360" w:lineRule="auto"/>
        <w:rPr>
          <w:b/>
          <w:sz w:val="24"/>
        </w:rPr>
      </w:pPr>
      <w:r w:rsidRPr="00397062">
        <w:rPr>
          <w:rFonts w:hint="eastAsia"/>
          <w:b/>
          <w:sz w:val="24"/>
        </w:rPr>
        <w:t>示例：</w:t>
      </w:r>
      <w:hyperlink r:id="rId8" w:history="1">
        <w:r w:rsidR="007353D8" w:rsidRPr="007353D8">
          <w:rPr>
            <w:rStyle w:val="a6"/>
            <w:rFonts w:hint="eastAsia"/>
            <w:b/>
            <w:sz w:val="24"/>
          </w:rPr>
          <w:t>研究生学位论文答辩安排表</w:t>
        </w:r>
        <w:r w:rsidR="007353D8" w:rsidRPr="007353D8">
          <w:rPr>
            <w:rStyle w:val="a6"/>
            <w:rFonts w:hint="eastAsia"/>
            <w:b/>
            <w:sz w:val="24"/>
          </w:rPr>
          <w:t xml:space="preserve"> .xls</w:t>
        </w:r>
      </w:hyperlink>
      <w:bookmarkStart w:id="0" w:name="_GoBack"/>
      <w:bookmarkEnd w:id="0"/>
      <w:r w:rsidR="007353D8" w:rsidRPr="00397062">
        <w:rPr>
          <w:b/>
          <w:sz w:val="24"/>
        </w:rPr>
        <w:t xml:space="preserve"> </w:t>
      </w:r>
    </w:p>
    <w:p w:rsidR="00C85D4D" w:rsidRPr="00E13671" w:rsidRDefault="004A7FB2" w:rsidP="00C85D4D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 w:rsidR="00C85D4D" w:rsidRPr="00E13671">
        <w:rPr>
          <w:rFonts w:hint="eastAsia"/>
          <w:sz w:val="24"/>
        </w:rPr>
        <w:t>若发生学生论文</w:t>
      </w:r>
      <w:r w:rsidR="00C85D4D" w:rsidRPr="00920F78">
        <w:rPr>
          <w:rFonts w:hint="eastAsia"/>
          <w:b/>
          <w:sz w:val="24"/>
        </w:rPr>
        <w:t>多次或多份送审</w:t>
      </w:r>
      <w:r w:rsidR="00C85D4D" w:rsidRPr="00E13671">
        <w:rPr>
          <w:rFonts w:hint="eastAsia"/>
          <w:sz w:val="24"/>
        </w:rPr>
        <w:t>等特殊情况，在报销时需</w:t>
      </w:r>
      <w:r w:rsidR="00C85D4D" w:rsidRPr="00920F78">
        <w:rPr>
          <w:rFonts w:hint="eastAsia"/>
          <w:b/>
          <w:sz w:val="24"/>
        </w:rPr>
        <w:t>附单位主管领导签字</w:t>
      </w:r>
      <w:r w:rsidR="00C85D4D" w:rsidRPr="00E13671">
        <w:rPr>
          <w:rFonts w:hint="eastAsia"/>
          <w:sz w:val="24"/>
        </w:rPr>
        <w:t>的情况说明，并注明相关学生学号、姓名、标准、总金额等。</w:t>
      </w:r>
    </w:p>
    <w:p w:rsidR="00C85D4D" w:rsidRPr="00E13671" w:rsidRDefault="004A7FB2" w:rsidP="00C85D4D">
      <w:pPr>
        <w:spacing w:line="360" w:lineRule="auto"/>
        <w:rPr>
          <w:sz w:val="24"/>
        </w:rPr>
      </w:pPr>
      <w:r>
        <w:rPr>
          <w:rFonts w:hint="eastAsia"/>
          <w:sz w:val="24"/>
        </w:rPr>
        <w:t>5.</w:t>
      </w:r>
      <w:r w:rsidR="00C85D4D" w:rsidRPr="00E13671">
        <w:rPr>
          <w:rFonts w:hint="eastAsia"/>
          <w:sz w:val="24"/>
        </w:rPr>
        <w:t>通过“薪酬个税管理系统”所制印领表中制表人、审批人应按规定完成签审手续，若制表人与审批人为同一人，则需院系其他领导在审批人处加签。若报销金额在</w:t>
      </w:r>
      <w:r w:rsidR="00C13A3B">
        <w:rPr>
          <w:rFonts w:hint="eastAsia"/>
          <w:sz w:val="24"/>
        </w:rPr>
        <w:t>10</w:t>
      </w:r>
      <w:r w:rsidR="00C85D4D" w:rsidRPr="00E13671">
        <w:rPr>
          <w:rFonts w:hint="eastAsia"/>
          <w:sz w:val="24"/>
        </w:rPr>
        <w:t>万元（含）以上需主管校领导加签。</w:t>
      </w:r>
    </w:p>
    <w:p w:rsidR="00593A8D" w:rsidRDefault="004A7FB2" w:rsidP="00C85D4D">
      <w:pPr>
        <w:spacing w:line="360" w:lineRule="auto"/>
        <w:rPr>
          <w:sz w:val="24"/>
        </w:rPr>
      </w:pPr>
      <w:r>
        <w:rPr>
          <w:rFonts w:hint="eastAsia"/>
          <w:sz w:val="24"/>
        </w:rPr>
        <w:t>6.</w:t>
      </w:r>
      <w:r w:rsidR="00C85D4D" w:rsidRPr="00E13671">
        <w:rPr>
          <w:rFonts w:hint="eastAsia"/>
          <w:sz w:val="24"/>
        </w:rPr>
        <w:t>校外人员发放酬金时，暂限</w:t>
      </w:r>
      <w:r w:rsidR="00C85D4D" w:rsidRPr="0080685A">
        <w:rPr>
          <w:rFonts w:hint="eastAsia"/>
          <w:sz w:val="24"/>
        </w:rPr>
        <w:t>以下</w:t>
      </w:r>
      <w:r w:rsidR="00981354" w:rsidRPr="0080685A">
        <w:rPr>
          <w:b/>
          <w:sz w:val="24"/>
        </w:rPr>
        <w:t>14</w:t>
      </w:r>
      <w:r w:rsidR="00C85D4D" w:rsidRPr="0080685A">
        <w:rPr>
          <w:rFonts w:hint="eastAsia"/>
          <w:b/>
          <w:sz w:val="24"/>
        </w:rPr>
        <w:t>家</w:t>
      </w:r>
      <w:r w:rsidR="00C85D4D" w:rsidRPr="0080685A">
        <w:rPr>
          <w:rFonts w:hint="eastAsia"/>
          <w:sz w:val="24"/>
        </w:rPr>
        <w:t>全国范围支付的银行</w:t>
      </w:r>
      <w:r w:rsidR="00C85D4D" w:rsidRPr="0080685A">
        <w:rPr>
          <w:rFonts w:hint="eastAsia"/>
          <w:b/>
          <w:sz w:val="24"/>
        </w:rPr>
        <w:t>借记卡</w:t>
      </w:r>
      <w:r w:rsidR="00C85D4D" w:rsidRPr="0080685A">
        <w:rPr>
          <w:rFonts w:hint="eastAsia"/>
          <w:sz w:val="24"/>
        </w:rPr>
        <w:t>：</w:t>
      </w:r>
      <w:r w:rsidR="00C85D4D" w:rsidRPr="0080685A">
        <w:rPr>
          <w:rFonts w:hint="eastAsia"/>
          <w:sz w:val="24"/>
          <w:u w:val="wave"/>
        </w:rPr>
        <w:t>中国工商银行、中国农业银行、中国银行、中国建设银行、交通银行、招商银行、中国邮政储蓄银行、广东发展银行、兴业银行、中国光大银行、上海浦发银行、华兴银行（限广东省）</w:t>
      </w:r>
      <w:r w:rsidR="006F0540" w:rsidRPr="0080685A">
        <w:rPr>
          <w:rFonts w:hint="eastAsia"/>
          <w:sz w:val="24"/>
          <w:u w:val="wave"/>
        </w:rPr>
        <w:t>、民生银行、平安银行</w:t>
      </w:r>
      <w:r w:rsidR="00C85D4D" w:rsidRPr="0080685A">
        <w:rPr>
          <w:rFonts w:hint="eastAsia"/>
          <w:sz w:val="24"/>
        </w:rPr>
        <w:t>。</w:t>
      </w:r>
    </w:p>
    <w:p w:rsidR="00C85D4D" w:rsidRDefault="004A7FB2" w:rsidP="00C85D4D">
      <w:pPr>
        <w:spacing w:line="360" w:lineRule="auto"/>
        <w:rPr>
          <w:sz w:val="24"/>
        </w:rPr>
      </w:pPr>
      <w:r>
        <w:rPr>
          <w:rFonts w:hint="eastAsia"/>
          <w:sz w:val="24"/>
        </w:rPr>
        <w:t>7.</w:t>
      </w:r>
      <w:r w:rsidR="00593A8D" w:rsidRPr="00593A8D">
        <w:rPr>
          <w:rFonts w:hint="eastAsia"/>
          <w:sz w:val="24"/>
        </w:rPr>
        <w:t xml:space="preserve"> </w:t>
      </w:r>
      <w:r w:rsidR="00593A8D" w:rsidRPr="00E13671">
        <w:rPr>
          <w:rFonts w:hint="eastAsia"/>
          <w:sz w:val="24"/>
        </w:rPr>
        <w:t>校外人员发放酬金时，在录入银行账户时，</w:t>
      </w:r>
      <w:r w:rsidR="00C85D4D" w:rsidRPr="00E13671">
        <w:rPr>
          <w:rFonts w:hint="eastAsia"/>
          <w:sz w:val="24"/>
        </w:rPr>
        <w:t>非广州市工商银行卡请选择经办行为</w:t>
      </w:r>
      <w:r w:rsidR="00C85D4D" w:rsidRPr="00386034">
        <w:rPr>
          <w:rFonts w:hint="eastAsia"/>
          <w:b/>
          <w:sz w:val="24"/>
          <w:u w:val="single"/>
        </w:rPr>
        <w:t>“其他”</w:t>
      </w:r>
      <w:r w:rsidR="00C85D4D" w:rsidRPr="00E13671">
        <w:rPr>
          <w:rFonts w:hint="eastAsia"/>
          <w:sz w:val="24"/>
        </w:rPr>
        <w:t>。</w:t>
      </w:r>
    </w:p>
    <w:p w:rsidR="00593A8D" w:rsidRPr="00E13671" w:rsidRDefault="00593A8D" w:rsidP="00C85D4D">
      <w:pPr>
        <w:spacing w:line="360" w:lineRule="auto"/>
        <w:rPr>
          <w:sz w:val="24"/>
        </w:rPr>
      </w:pPr>
      <w:r>
        <w:rPr>
          <w:rFonts w:hint="eastAsia"/>
          <w:sz w:val="24"/>
        </w:rPr>
        <w:t>特此通知</w:t>
      </w:r>
    </w:p>
    <w:p w:rsidR="00C85D4D" w:rsidRPr="00E13671" w:rsidRDefault="00E13671" w:rsidP="00C85D4D">
      <w:pPr>
        <w:spacing w:line="360" w:lineRule="auto"/>
        <w:rPr>
          <w:sz w:val="24"/>
        </w:rPr>
      </w:pPr>
      <w:r w:rsidRPr="00E13671">
        <w:rPr>
          <w:sz w:val="24"/>
        </w:rPr>
        <w:t xml:space="preserve">        </w:t>
      </w:r>
    </w:p>
    <w:p w:rsidR="00C85D4D" w:rsidRPr="00E13671" w:rsidRDefault="00C85D4D" w:rsidP="00C85D4D">
      <w:pPr>
        <w:spacing w:line="360" w:lineRule="auto"/>
        <w:rPr>
          <w:sz w:val="24"/>
        </w:rPr>
      </w:pPr>
    </w:p>
    <w:p w:rsidR="00EC21E9" w:rsidRPr="00E13671" w:rsidRDefault="00C85D4D" w:rsidP="00386034">
      <w:pPr>
        <w:spacing w:line="360" w:lineRule="auto"/>
        <w:jc w:val="right"/>
        <w:rPr>
          <w:sz w:val="24"/>
        </w:rPr>
      </w:pPr>
      <w:r w:rsidRPr="00E13671">
        <w:rPr>
          <w:rFonts w:hint="eastAsia"/>
          <w:sz w:val="24"/>
        </w:rPr>
        <w:t xml:space="preserve">                  </w:t>
      </w:r>
      <w:r w:rsidR="00FC3AC5">
        <w:rPr>
          <w:rFonts w:hint="eastAsia"/>
          <w:sz w:val="24"/>
        </w:rPr>
        <w:t xml:space="preserve">                              </w:t>
      </w:r>
      <w:r w:rsidRPr="00E13671">
        <w:rPr>
          <w:rFonts w:hint="eastAsia"/>
          <w:sz w:val="24"/>
        </w:rPr>
        <w:t xml:space="preserve"> </w:t>
      </w:r>
      <w:r w:rsidRPr="00E13671">
        <w:rPr>
          <w:rFonts w:hint="eastAsia"/>
          <w:sz w:val="24"/>
        </w:rPr>
        <w:t>财务与国有资产管理处</w:t>
      </w:r>
      <w:r w:rsidRPr="00E13671">
        <w:rPr>
          <w:rFonts w:hint="eastAsia"/>
          <w:sz w:val="24"/>
        </w:rPr>
        <w:t xml:space="preserve">                      </w:t>
      </w:r>
      <w:r w:rsidR="00FC3AC5">
        <w:rPr>
          <w:rFonts w:hint="eastAsia"/>
          <w:sz w:val="24"/>
        </w:rPr>
        <w:t xml:space="preserve">                            </w:t>
      </w:r>
      <w:r w:rsidRPr="00E13671">
        <w:rPr>
          <w:rFonts w:hint="eastAsia"/>
          <w:sz w:val="24"/>
        </w:rPr>
        <w:t xml:space="preserve">   20</w:t>
      </w:r>
      <w:r w:rsidR="006F0540">
        <w:rPr>
          <w:rFonts w:hint="eastAsia"/>
          <w:sz w:val="24"/>
        </w:rPr>
        <w:t>23</w:t>
      </w:r>
      <w:r w:rsidRPr="00E13671">
        <w:rPr>
          <w:rFonts w:hint="eastAsia"/>
          <w:sz w:val="24"/>
        </w:rPr>
        <w:t>年</w:t>
      </w:r>
      <w:r w:rsidR="006F0540">
        <w:rPr>
          <w:rFonts w:hint="eastAsia"/>
          <w:sz w:val="24"/>
        </w:rPr>
        <w:t>5</w:t>
      </w:r>
      <w:r w:rsidRPr="00E13671">
        <w:rPr>
          <w:rFonts w:hint="eastAsia"/>
          <w:sz w:val="24"/>
        </w:rPr>
        <w:t>月</w:t>
      </w:r>
      <w:r w:rsidR="006F0540">
        <w:rPr>
          <w:rFonts w:hint="eastAsia"/>
          <w:sz w:val="24"/>
        </w:rPr>
        <w:t>1</w:t>
      </w:r>
      <w:r w:rsidR="006B1437">
        <w:rPr>
          <w:rFonts w:hint="eastAsia"/>
          <w:sz w:val="24"/>
        </w:rPr>
        <w:t>7</w:t>
      </w:r>
      <w:r w:rsidRPr="00E13671">
        <w:rPr>
          <w:rFonts w:hint="eastAsia"/>
          <w:sz w:val="24"/>
        </w:rPr>
        <w:t>日</w:t>
      </w:r>
      <w:r w:rsidR="006B1437">
        <w:rPr>
          <w:rFonts w:hint="eastAsia"/>
          <w:sz w:val="24"/>
        </w:rPr>
        <w:t xml:space="preserve">  </w:t>
      </w:r>
    </w:p>
    <w:sectPr w:rsidR="00EC21E9" w:rsidRPr="00E13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FD" w:rsidRDefault="00D252FD" w:rsidP="00757F7A">
      <w:r>
        <w:separator/>
      </w:r>
    </w:p>
  </w:endnote>
  <w:endnote w:type="continuationSeparator" w:id="0">
    <w:p w:rsidR="00D252FD" w:rsidRDefault="00D252FD" w:rsidP="0075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FD" w:rsidRDefault="00D252FD" w:rsidP="00757F7A">
      <w:r>
        <w:separator/>
      </w:r>
    </w:p>
  </w:footnote>
  <w:footnote w:type="continuationSeparator" w:id="0">
    <w:p w:rsidR="00D252FD" w:rsidRDefault="00D252FD" w:rsidP="00757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4D"/>
    <w:rsid w:val="00006419"/>
    <w:rsid w:val="00041188"/>
    <w:rsid w:val="0006347C"/>
    <w:rsid w:val="000B49F8"/>
    <w:rsid w:val="00112506"/>
    <w:rsid w:val="001278AD"/>
    <w:rsid w:val="00147783"/>
    <w:rsid w:val="00184131"/>
    <w:rsid w:val="00221DBE"/>
    <w:rsid w:val="00223D4B"/>
    <w:rsid w:val="0025736D"/>
    <w:rsid w:val="002C79C1"/>
    <w:rsid w:val="00316D9A"/>
    <w:rsid w:val="00320BB3"/>
    <w:rsid w:val="00381885"/>
    <w:rsid w:val="00386034"/>
    <w:rsid w:val="003918C0"/>
    <w:rsid w:val="00397062"/>
    <w:rsid w:val="003A3647"/>
    <w:rsid w:val="003E0A68"/>
    <w:rsid w:val="003E4B19"/>
    <w:rsid w:val="00476CE4"/>
    <w:rsid w:val="004A4014"/>
    <w:rsid w:val="004A7FB2"/>
    <w:rsid w:val="0050763C"/>
    <w:rsid w:val="00552918"/>
    <w:rsid w:val="00560268"/>
    <w:rsid w:val="00565CFC"/>
    <w:rsid w:val="00577A00"/>
    <w:rsid w:val="00593A8D"/>
    <w:rsid w:val="005A74F4"/>
    <w:rsid w:val="005D6A51"/>
    <w:rsid w:val="006150F6"/>
    <w:rsid w:val="00660C1E"/>
    <w:rsid w:val="00677B74"/>
    <w:rsid w:val="006B1437"/>
    <w:rsid w:val="006B6859"/>
    <w:rsid w:val="006F0540"/>
    <w:rsid w:val="006F23E5"/>
    <w:rsid w:val="0070136C"/>
    <w:rsid w:val="00704C7C"/>
    <w:rsid w:val="007353D8"/>
    <w:rsid w:val="00744A02"/>
    <w:rsid w:val="00757F7A"/>
    <w:rsid w:val="007E6337"/>
    <w:rsid w:val="007F0F64"/>
    <w:rsid w:val="0080685A"/>
    <w:rsid w:val="00807AB3"/>
    <w:rsid w:val="008209A0"/>
    <w:rsid w:val="008775E1"/>
    <w:rsid w:val="0088484C"/>
    <w:rsid w:val="008D768A"/>
    <w:rsid w:val="008F07B0"/>
    <w:rsid w:val="00920F78"/>
    <w:rsid w:val="009268B3"/>
    <w:rsid w:val="00935BD7"/>
    <w:rsid w:val="00937287"/>
    <w:rsid w:val="00980C42"/>
    <w:rsid w:val="00981354"/>
    <w:rsid w:val="00983F5B"/>
    <w:rsid w:val="009A6401"/>
    <w:rsid w:val="009B0340"/>
    <w:rsid w:val="009B6A63"/>
    <w:rsid w:val="009C47CA"/>
    <w:rsid w:val="009D1FD1"/>
    <w:rsid w:val="009D3912"/>
    <w:rsid w:val="00A46318"/>
    <w:rsid w:val="00AC1465"/>
    <w:rsid w:val="00AE34AD"/>
    <w:rsid w:val="00AF1F93"/>
    <w:rsid w:val="00B26088"/>
    <w:rsid w:val="00B7443D"/>
    <w:rsid w:val="00BB2EEC"/>
    <w:rsid w:val="00BB71EE"/>
    <w:rsid w:val="00BC57A1"/>
    <w:rsid w:val="00C13A3B"/>
    <w:rsid w:val="00C67BE2"/>
    <w:rsid w:val="00C85D4D"/>
    <w:rsid w:val="00CB04B2"/>
    <w:rsid w:val="00CB2317"/>
    <w:rsid w:val="00CC7354"/>
    <w:rsid w:val="00D252FD"/>
    <w:rsid w:val="00D50EC9"/>
    <w:rsid w:val="00E05448"/>
    <w:rsid w:val="00E13671"/>
    <w:rsid w:val="00E916E4"/>
    <w:rsid w:val="00EB4301"/>
    <w:rsid w:val="00EC21E9"/>
    <w:rsid w:val="00EC72D9"/>
    <w:rsid w:val="00EC7A51"/>
    <w:rsid w:val="00ED0115"/>
    <w:rsid w:val="00F3100F"/>
    <w:rsid w:val="00F45111"/>
    <w:rsid w:val="00F71124"/>
    <w:rsid w:val="00FC3AC5"/>
    <w:rsid w:val="00FD020C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6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76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7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7F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7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7F7A"/>
    <w:rPr>
      <w:sz w:val="18"/>
      <w:szCs w:val="18"/>
    </w:rPr>
  </w:style>
  <w:style w:type="character" w:styleId="a6">
    <w:name w:val="Hyperlink"/>
    <w:basedOn w:val="a0"/>
    <w:uiPriority w:val="99"/>
    <w:unhideWhenUsed/>
    <w:rsid w:val="0018413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841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6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76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7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7F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7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7F7A"/>
    <w:rPr>
      <w:sz w:val="18"/>
      <w:szCs w:val="18"/>
    </w:rPr>
  </w:style>
  <w:style w:type="character" w:styleId="a6">
    <w:name w:val="Hyperlink"/>
    <w:basedOn w:val="a0"/>
    <w:uiPriority w:val="99"/>
    <w:unhideWhenUsed/>
    <w:rsid w:val="0018413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84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0740;&#31350;&#29983;&#23398;&#20301;&#35770;&#25991;&#31572;&#36777;&#23433;&#25490;&#34920;%20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39E2-84F3-40C6-9AA3-E6998AB8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215</Words>
  <Characters>1227</Characters>
  <Application>Microsoft Office Word</Application>
  <DocSecurity>0</DocSecurity>
  <Lines>10</Lines>
  <Paragraphs>2</Paragraphs>
  <ScaleCrop>false</ScaleCrop>
  <Company>微软中国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魏晓玲</cp:lastModifiedBy>
  <cp:revision>23</cp:revision>
  <cp:lastPrinted>2017-10-31T01:17:00Z</cp:lastPrinted>
  <dcterms:created xsi:type="dcterms:W3CDTF">2023-05-17T03:28:00Z</dcterms:created>
  <dcterms:modified xsi:type="dcterms:W3CDTF">2023-06-02T02:40:00Z</dcterms:modified>
</cp:coreProperties>
</file>