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1D" w:rsidRPr="00C0081C" w:rsidRDefault="00F51B1D" w:rsidP="00F51B1D">
      <w:pPr>
        <w:pStyle w:val="2"/>
        <w:spacing w:before="240" w:after="120"/>
      </w:pPr>
      <w:bookmarkStart w:id="0" w:name="_Toc445143114"/>
      <w:bookmarkStart w:id="1" w:name="_Toc445994176"/>
      <w:bookmarkStart w:id="2" w:name="_Toc452477477"/>
      <w:bookmarkStart w:id="3" w:name="_Toc460335666"/>
      <w:bookmarkStart w:id="4" w:name="_GoBack"/>
      <w:bookmarkEnd w:id="4"/>
      <w:r w:rsidRPr="00C0081C">
        <w:rPr>
          <w:rFonts w:hint="eastAsia"/>
        </w:rPr>
        <w:t>关于印发《中央财政国库动态监控管理暂行办法》的通知</w:t>
      </w:r>
      <w:bookmarkEnd w:id="0"/>
      <w:bookmarkEnd w:id="1"/>
      <w:bookmarkEnd w:id="2"/>
      <w:bookmarkEnd w:id="3"/>
    </w:p>
    <w:p w:rsidR="00F51B1D" w:rsidRPr="00C0081C" w:rsidRDefault="00F51B1D" w:rsidP="00F51B1D">
      <w:pPr>
        <w:snapToGrid w:val="0"/>
        <w:spacing w:line="360" w:lineRule="exact"/>
        <w:jc w:val="center"/>
        <w:rPr>
          <w:rFonts w:cs="Arial"/>
          <w:color w:val="000000"/>
          <w:kern w:val="0"/>
          <w:szCs w:val="21"/>
        </w:rPr>
      </w:pPr>
      <w:r w:rsidRPr="00C0081C">
        <w:rPr>
          <w:rFonts w:hAnsi="宋体" w:cs="Arial"/>
          <w:color w:val="000000"/>
          <w:kern w:val="0"/>
          <w:szCs w:val="21"/>
        </w:rPr>
        <w:t>财库</w:t>
      </w:r>
      <w:r w:rsidRPr="00C0081C">
        <w:rPr>
          <w:rFonts w:cs="Arial"/>
          <w:color w:val="000000"/>
          <w:kern w:val="0"/>
          <w:szCs w:val="21"/>
        </w:rPr>
        <w:t>[2013]217</w:t>
      </w:r>
      <w:r w:rsidRPr="00C0081C">
        <w:rPr>
          <w:rFonts w:hAnsi="宋体" w:cs="Arial"/>
          <w:color w:val="000000"/>
          <w:kern w:val="0"/>
          <w:szCs w:val="21"/>
        </w:rPr>
        <w:t>号</w:t>
      </w:r>
    </w:p>
    <w:p w:rsidR="00F51B1D" w:rsidRPr="00C0081C" w:rsidRDefault="00F51B1D" w:rsidP="00F51B1D">
      <w:pPr>
        <w:snapToGrid w:val="0"/>
        <w:spacing w:line="360" w:lineRule="exact"/>
        <w:ind w:firstLineChars="200" w:firstLine="422"/>
        <w:jc w:val="left"/>
        <w:rPr>
          <w:rFonts w:cs="Arial"/>
          <w:b/>
          <w:bCs/>
          <w:color w:val="000000"/>
          <w:kern w:val="0"/>
          <w:szCs w:val="21"/>
        </w:rPr>
      </w:pPr>
    </w:p>
    <w:p w:rsidR="00F51B1D" w:rsidRPr="00C0081C" w:rsidRDefault="00F51B1D" w:rsidP="00F51B1D">
      <w:pPr>
        <w:snapToGrid w:val="0"/>
        <w:spacing w:line="360" w:lineRule="exact"/>
        <w:jc w:val="left"/>
        <w:rPr>
          <w:rFonts w:cs="Arial"/>
          <w:color w:val="000000"/>
          <w:kern w:val="0"/>
          <w:szCs w:val="21"/>
        </w:rPr>
      </w:pPr>
      <w:r w:rsidRPr="00C0081C">
        <w:rPr>
          <w:rFonts w:hAnsi="宋体" w:cs="Arial"/>
          <w:color w:val="000000"/>
          <w:kern w:val="0"/>
          <w:szCs w:val="21"/>
        </w:rPr>
        <w:t>党中央有关部门，国务院各部委、各直属机构，武警部队，新疆生产建设兵团，全国人大常委会办公厅，全国政协办公厅，高法院，高检院，有关人民团体，有关中央管理企业，各中央国库集中支付代理银行：</w:t>
      </w:r>
    </w:p>
    <w:p w:rsidR="00F51B1D" w:rsidRDefault="00F51B1D" w:rsidP="00F51B1D">
      <w:pPr>
        <w:snapToGrid w:val="0"/>
        <w:spacing w:line="360" w:lineRule="exact"/>
        <w:ind w:firstLineChars="200" w:firstLine="420"/>
        <w:jc w:val="left"/>
        <w:rPr>
          <w:rFonts w:hAnsi="宋体" w:cs="Arial"/>
          <w:color w:val="000000"/>
          <w:kern w:val="0"/>
          <w:szCs w:val="21"/>
        </w:rPr>
      </w:pPr>
      <w:r w:rsidRPr="00C0081C">
        <w:rPr>
          <w:rFonts w:hAnsi="宋体" w:cs="Arial"/>
          <w:color w:val="000000"/>
          <w:kern w:val="0"/>
          <w:szCs w:val="21"/>
        </w:rPr>
        <w:t>为进一步加强国库集中支付管理与监督，提高财政资金使用的安全性、规范性和有效性，根据《中华人民共和国预算法》、《财政违法行为处罚处分条例》（国务院令第４２７号）以及财政国库管理制度等有关规定，我们制定了《中央财政国库动态监控管理暂行办法》，现印发给你们，请认真贯彻执行。</w:t>
      </w:r>
    </w:p>
    <w:p w:rsidR="00F51B1D" w:rsidRPr="00C0081C" w:rsidRDefault="00F51B1D" w:rsidP="00F51B1D">
      <w:pPr>
        <w:snapToGrid w:val="0"/>
        <w:spacing w:line="360" w:lineRule="exact"/>
        <w:ind w:firstLineChars="200" w:firstLine="420"/>
        <w:jc w:val="left"/>
        <w:rPr>
          <w:rFonts w:cs="Arial"/>
          <w:color w:val="000000"/>
          <w:kern w:val="0"/>
          <w:szCs w:val="21"/>
        </w:rPr>
      </w:pP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附件：中央财政国库动态监控管理暂行办法</w:t>
      </w:r>
    </w:p>
    <w:p w:rsidR="00F51B1D" w:rsidRPr="00C0081C" w:rsidRDefault="00F51B1D" w:rsidP="00F51B1D">
      <w:pPr>
        <w:snapToGrid w:val="0"/>
        <w:spacing w:line="360" w:lineRule="exact"/>
        <w:ind w:firstLineChars="200" w:firstLine="420"/>
        <w:jc w:val="left"/>
        <w:rPr>
          <w:rFonts w:cs="Arial"/>
          <w:color w:val="000000"/>
          <w:kern w:val="0"/>
          <w:szCs w:val="21"/>
        </w:rPr>
      </w:pPr>
      <w:r>
        <w:rPr>
          <w:rFonts w:cs="Arial" w:hint="eastAsia"/>
          <w:color w:val="000000"/>
          <w:kern w:val="0"/>
          <w:szCs w:val="21"/>
        </w:rPr>
        <w:t xml:space="preserve">   </w:t>
      </w:r>
    </w:p>
    <w:p w:rsidR="00F51B1D" w:rsidRPr="00C0081C" w:rsidRDefault="00F51B1D" w:rsidP="00F51B1D">
      <w:pPr>
        <w:snapToGrid w:val="0"/>
        <w:spacing w:line="360" w:lineRule="exact"/>
        <w:jc w:val="center"/>
        <w:rPr>
          <w:rFonts w:cs="Arial"/>
          <w:color w:val="000000"/>
          <w:kern w:val="0"/>
          <w:szCs w:val="21"/>
        </w:rPr>
      </w:pPr>
      <w:r>
        <w:rPr>
          <w:rFonts w:cs="Arial" w:hint="eastAsia"/>
          <w:color w:val="000000"/>
          <w:kern w:val="0"/>
          <w:szCs w:val="21"/>
        </w:rPr>
        <w:t xml:space="preserve">        </w:t>
      </w:r>
      <w:r w:rsidRPr="00C0081C">
        <w:rPr>
          <w:rFonts w:cs="Arial" w:hint="eastAsia"/>
          <w:color w:val="000000"/>
          <w:kern w:val="0"/>
          <w:szCs w:val="21"/>
        </w:rPr>
        <w:t xml:space="preserve">                                               </w:t>
      </w:r>
      <w:r>
        <w:rPr>
          <w:rFonts w:cs="Arial" w:hint="eastAsia"/>
          <w:color w:val="000000"/>
          <w:kern w:val="0"/>
          <w:szCs w:val="21"/>
        </w:rPr>
        <w:t xml:space="preserve">      </w:t>
      </w:r>
      <w:r w:rsidRPr="00C0081C">
        <w:rPr>
          <w:rFonts w:hAnsi="宋体" w:cs="Arial"/>
          <w:color w:val="000000"/>
          <w:kern w:val="0"/>
          <w:szCs w:val="21"/>
        </w:rPr>
        <w:t>财　政　部</w:t>
      </w:r>
    </w:p>
    <w:p w:rsidR="00F51B1D" w:rsidRPr="00C0081C" w:rsidRDefault="00F51B1D" w:rsidP="00F51B1D">
      <w:pPr>
        <w:snapToGrid w:val="0"/>
        <w:spacing w:line="360" w:lineRule="exact"/>
        <w:ind w:firstLineChars="200" w:firstLine="420"/>
        <w:jc w:val="right"/>
        <w:rPr>
          <w:rFonts w:cs="Arial"/>
          <w:color w:val="000000"/>
          <w:kern w:val="0"/>
          <w:szCs w:val="21"/>
        </w:rPr>
      </w:pPr>
      <w:r>
        <w:rPr>
          <w:rFonts w:hAnsi="宋体" w:cs="Arial" w:hint="eastAsia"/>
          <w:color w:val="000000"/>
          <w:kern w:val="0"/>
          <w:szCs w:val="21"/>
        </w:rPr>
        <w:t>2013</w:t>
      </w:r>
      <w:r w:rsidRPr="00C0081C">
        <w:rPr>
          <w:rFonts w:hAnsi="宋体" w:cs="Arial"/>
          <w:color w:val="000000"/>
          <w:kern w:val="0"/>
          <w:szCs w:val="21"/>
        </w:rPr>
        <w:t>年</w:t>
      </w:r>
      <w:r>
        <w:rPr>
          <w:rFonts w:hAnsi="宋体" w:cs="Arial" w:hint="eastAsia"/>
          <w:color w:val="000000"/>
          <w:kern w:val="0"/>
          <w:szCs w:val="21"/>
        </w:rPr>
        <w:t>12</w:t>
      </w:r>
      <w:r w:rsidRPr="00C0081C">
        <w:rPr>
          <w:rFonts w:hAnsi="宋体" w:cs="Arial"/>
          <w:color w:val="000000"/>
          <w:kern w:val="0"/>
          <w:szCs w:val="21"/>
        </w:rPr>
        <w:t>月</w:t>
      </w:r>
      <w:r>
        <w:rPr>
          <w:rFonts w:hAnsi="宋体" w:cs="Arial" w:hint="eastAsia"/>
          <w:color w:val="000000"/>
          <w:kern w:val="0"/>
          <w:szCs w:val="21"/>
        </w:rPr>
        <w:t>16</w:t>
      </w:r>
      <w:r w:rsidRPr="00C0081C">
        <w:rPr>
          <w:rFonts w:hAnsi="宋体" w:cs="Arial"/>
          <w:color w:val="000000"/>
          <w:kern w:val="0"/>
          <w:szCs w:val="21"/>
        </w:rPr>
        <w:t>日</w:t>
      </w:r>
    </w:p>
    <w:p w:rsidR="00F51B1D" w:rsidRPr="00C0081C" w:rsidRDefault="00F51B1D" w:rsidP="00F51B1D">
      <w:pPr>
        <w:snapToGrid w:val="0"/>
        <w:spacing w:line="360" w:lineRule="exact"/>
        <w:jc w:val="left"/>
        <w:rPr>
          <w:rFonts w:cs="Arial"/>
          <w:color w:val="000000"/>
          <w:kern w:val="0"/>
          <w:szCs w:val="21"/>
        </w:rPr>
      </w:pPr>
    </w:p>
    <w:p w:rsidR="00F51B1D" w:rsidRPr="00C0081C" w:rsidRDefault="00F51B1D" w:rsidP="00F51B1D">
      <w:pPr>
        <w:snapToGrid w:val="0"/>
        <w:spacing w:line="360" w:lineRule="exact"/>
        <w:jc w:val="left"/>
        <w:rPr>
          <w:rFonts w:cs="Arial"/>
          <w:color w:val="000000"/>
          <w:kern w:val="0"/>
          <w:szCs w:val="21"/>
        </w:rPr>
        <w:sectPr w:rsidR="00F51B1D" w:rsidRPr="00C0081C" w:rsidSect="00C0081C">
          <w:pgSz w:w="11906" w:h="16838" w:code="9"/>
          <w:pgMar w:top="1134" w:right="1588" w:bottom="1134" w:left="1588" w:header="851" w:footer="992" w:gutter="0"/>
          <w:cols w:space="425"/>
          <w:docGrid w:linePitch="303"/>
        </w:sectPr>
      </w:pPr>
    </w:p>
    <w:p w:rsidR="00F51B1D" w:rsidRDefault="00F51B1D" w:rsidP="00F51B1D">
      <w:pPr>
        <w:snapToGrid w:val="0"/>
        <w:spacing w:line="360" w:lineRule="exact"/>
        <w:jc w:val="left"/>
        <w:rPr>
          <w:rFonts w:hAnsi="宋体" w:cs="Arial"/>
          <w:b/>
          <w:color w:val="000000"/>
          <w:kern w:val="0"/>
          <w:szCs w:val="21"/>
        </w:rPr>
      </w:pPr>
      <w:r w:rsidRPr="00C0081C">
        <w:rPr>
          <w:rFonts w:hAnsi="宋体" w:cs="Arial"/>
          <w:b/>
          <w:color w:val="000000"/>
          <w:kern w:val="0"/>
          <w:szCs w:val="21"/>
        </w:rPr>
        <w:lastRenderedPageBreak/>
        <w:t>附件：</w:t>
      </w:r>
    </w:p>
    <w:p w:rsidR="00F51B1D" w:rsidRPr="00C0081C" w:rsidRDefault="00F51B1D" w:rsidP="00F51B1D">
      <w:pPr>
        <w:snapToGrid w:val="0"/>
        <w:spacing w:line="360" w:lineRule="exact"/>
        <w:jc w:val="left"/>
        <w:rPr>
          <w:rFonts w:cs="Arial"/>
          <w:b/>
          <w:color w:val="000000"/>
          <w:kern w:val="0"/>
          <w:szCs w:val="21"/>
        </w:rPr>
      </w:pPr>
    </w:p>
    <w:p w:rsidR="00F51B1D" w:rsidRPr="00C0081C" w:rsidRDefault="00F51B1D" w:rsidP="00F51B1D">
      <w:pPr>
        <w:snapToGrid w:val="0"/>
        <w:spacing w:line="360" w:lineRule="exact"/>
        <w:jc w:val="center"/>
        <w:rPr>
          <w:rFonts w:cs="Arial"/>
          <w:b/>
          <w:color w:val="000000"/>
          <w:kern w:val="0"/>
          <w:sz w:val="28"/>
          <w:szCs w:val="28"/>
        </w:rPr>
      </w:pPr>
      <w:r w:rsidRPr="00C0081C">
        <w:rPr>
          <w:rFonts w:hAnsi="宋体" w:cs="Arial" w:hint="eastAsia"/>
          <w:b/>
          <w:bCs/>
          <w:color w:val="000000"/>
          <w:kern w:val="0"/>
          <w:sz w:val="28"/>
          <w:szCs w:val="28"/>
        </w:rPr>
        <w:t>中央财政国库动态监控管理暂行办法</w:t>
      </w:r>
    </w:p>
    <w:p w:rsidR="00F51B1D" w:rsidRPr="00C0081C" w:rsidRDefault="00F51B1D" w:rsidP="00F51B1D">
      <w:pPr>
        <w:snapToGrid w:val="0"/>
        <w:spacing w:line="360" w:lineRule="exact"/>
        <w:ind w:firstLineChars="200" w:firstLine="422"/>
        <w:jc w:val="center"/>
        <w:rPr>
          <w:rFonts w:cs="Arial"/>
          <w:b/>
          <w:bCs/>
          <w:color w:val="000000"/>
          <w:kern w:val="0"/>
          <w:szCs w:val="21"/>
        </w:rPr>
      </w:pPr>
    </w:p>
    <w:p w:rsidR="00F51B1D" w:rsidRDefault="00F51B1D" w:rsidP="00F51B1D">
      <w:pPr>
        <w:snapToGrid w:val="0"/>
        <w:spacing w:line="360" w:lineRule="exact"/>
        <w:jc w:val="center"/>
        <w:rPr>
          <w:rFonts w:hAnsi="宋体" w:cs="Arial"/>
          <w:b/>
          <w:bCs/>
          <w:color w:val="000000"/>
          <w:kern w:val="0"/>
          <w:szCs w:val="21"/>
        </w:rPr>
      </w:pPr>
      <w:r w:rsidRPr="00C0081C">
        <w:rPr>
          <w:rFonts w:hAnsi="宋体" w:cs="Arial"/>
          <w:b/>
          <w:bCs/>
          <w:color w:val="000000"/>
          <w:kern w:val="0"/>
          <w:szCs w:val="21"/>
        </w:rPr>
        <w:t>第一章</w:t>
      </w:r>
      <w:r w:rsidRPr="00C0081C">
        <w:rPr>
          <w:rFonts w:cs="Arial"/>
          <w:b/>
          <w:bCs/>
          <w:color w:val="000000"/>
          <w:kern w:val="0"/>
          <w:szCs w:val="21"/>
        </w:rPr>
        <w:t xml:space="preserve"> </w:t>
      </w:r>
      <w:r w:rsidRPr="00C0081C">
        <w:rPr>
          <w:rFonts w:hAnsi="宋体" w:cs="Arial"/>
          <w:b/>
          <w:bCs/>
          <w:color w:val="000000"/>
          <w:kern w:val="0"/>
          <w:szCs w:val="21"/>
        </w:rPr>
        <w:t>总</w:t>
      </w:r>
      <w:r>
        <w:rPr>
          <w:rFonts w:hAnsi="宋体" w:cs="Arial" w:hint="eastAsia"/>
          <w:b/>
          <w:bCs/>
          <w:color w:val="000000"/>
          <w:kern w:val="0"/>
          <w:szCs w:val="21"/>
        </w:rPr>
        <w:t xml:space="preserve">  </w:t>
      </w:r>
      <w:r w:rsidRPr="00C0081C">
        <w:rPr>
          <w:rFonts w:hAnsi="宋体" w:cs="Arial"/>
          <w:b/>
          <w:bCs/>
          <w:color w:val="000000"/>
          <w:kern w:val="0"/>
          <w:szCs w:val="21"/>
        </w:rPr>
        <w:t>则</w:t>
      </w:r>
    </w:p>
    <w:p w:rsidR="00F51B1D" w:rsidRPr="00C0081C" w:rsidRDefault="00F51B1D" w:rsidP="00F51B1D">
      <w:pPr>
        <w:snapToGrid w:val="0"/>
        <w:spacing w:line="360" w:lineRule="exact"/>
        <w:ind w:firstLineChars="200" w:firstLine="420"/>
        <w:jc w:val="center"/>
        <w:rPr>
          <w:rFonts w:cs="Arial"/>
          <w:color w:val="000000"/>
          <w:kern w:val="0"/>
          <w:szCs w:val="21"/>
        </w:rPr>
      </w:pP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第一条</w:t>
      </w:r>
      <w:r w:rsidRPr="00C0081C">
        <w:rPr>
          <w:rFonts w:cs="Arial"/>
          <w:color w:val="000000"/>
          <w:kern w:val="0"/>
          <w:szCs w:val="21"/>
        </w:rPr>
        <w:t xml:space="preserve">  </w:t>
      </w:r>
      <w:r w:rsidRPr="00C0081C">
        <w:rPr>
          <w:rFonts w:hAnsi="宋体" w:cs="Arial"/>
          <w:color w:val="000000"/>
          <w:kern w:val="0"/>
          <w:szCs w:val="21"/>
        </w:rPr>
        <w:t>为进一步加强国库集中支付管理与监督，提高财政资金的安全性、规范性和有效性，根据《中华人民共和国预算法》、《财政违法行为处罚处分条例》以及财政国库管理制度等有关规定，制定本办法。</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第二条</w:t>
      </w:r>
      <w:r w:rsidRPr="00C0081C">
        <w:rPr>
          <w:rFonts w:cs="Arial" w:hint="eastAsia"/>
          <w:color w:val="000000"/>
          <w:kern w:val="0"/>
          <w:szCs w:val="21"/>
        </w:rPr>
        <w:t xml:space="preserve">  </w:t>
      </w:r>
      <w:r w:rsidRPr="00C0081C">
        <w:rPr>
          <w:rFonts w:hAnsi="宋体" w:cs="Arial"/>
          <w:color w:val="000000"/>
          <w:kern w:val="0"/>
          <w:szCs w:val="21"/>
        </w:rPr>
        <w:t>本办法所称财政国库动态监控，是指财政部根据财政国库管理制度和相关财政财务管理规定，通过国库动态监控系统，实时监控财政资金支付清算过程，对发现的违规问题及时纠正处理，以防范资金支付使用风险、强化预算支出执行监管的管理活动。</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第三条</w:t>
      </w:r>
      <w:r w:rsidRPr="00C0081C">
        <w:rPr>
          <w:rFonts w:cs="Arial" w:hint="eastAsia"/>
          <w:color w:val="000000"/>
          <w:kern w:val="0"/>
          <w:szCs w:val="21"/>
        </w:rPr>
        <w:t xml:space="preserve">  </w:t>
      </w:r>
      <w:r w:rsidRPr="00C0081C">
        <w:rPr>
          <w:rFonts w:hAnsi="宋体" w:cs="Arial"/>
          <w:color w:val="000000"/>
          <w:kern w:val="0"/>
          <w:szCs w:val="21"/>
        </w:rPr>
        <w:t>本办法适用于财政拨款实行国库集中支付管理的中央预算单位，以及代理中央财政国库集中支付业务的商业银行（以下简称代理银行）。</w:t>
      </w:r>
    </w:p>
    <w:p w:rsidR="00F51B1D" w:rsidRDefault="00F51B1D" w:rsidP="00F51B1D">
      <w:pPr>
        <w:snapToGrid w:val="0"/>
        <w:spacing w:line="360" w:lineRule="exact"/>
        <w:ind w:firstLineChars="200" w:firstLine="420"/>
        <w:jc w:val="left"/>
        <w:rPr>
          <w:rFonts w:hAnsi="宋体" w:cs="Arial"/>
          <w:color w:val="000000"/>
          <w:kern w:val="0"/>
          <w:szCs w:val="21"/>
        </w:rPr>
      </w:pPr>
      <w:r w:rsidRPr="00C0081C">
        <w:rPr>
          <w:rFonts w:hAnsi="宋体" w:cs="Arial"/>
          <w:color w:val="000000"/>
          <w:kern w:val="0"/>
          <w:szCs w:val="21"/>
        </w:rPr>
        <w:t>第四条</w:t>
      </w:r>
      <w:r w:rsidRPr="00C0081C">
        <w:rPr>
          <w:rFonts w:cs="Arial" w:hint="eastAsia"/>
          <w:color w:val="000000"/>
          <w:kern w:val="0"/>
          <w:szCs w:val="21"/>
        </w:rPr>
        <w:t xml:space="preserve">  </w:t>
      </w:r>
      <w:r w:rsidRPr="00C0081C">
        <w:rPr>
          <w:rFonts w:hAnsi="宋体" w:cs="Arial"/>
          <w:color w:val="000000"/>
          <w:kern w:val="0"/>
          <w:szCs w:val="21"/>
        </w:rPr>
        <w:t>财政部是财政国库动态监控管理的主管部门。财政部与中央部门、代理银行建立监控工作互动机制，加强财政国库动态监控管理。</w:t>
      </w:r>
    </w:p>
    <w:p w:rsidR="00F51B1D" w:rsidRPr="00C0081C" w:rsidRDefault="00F51B1D" w:rsidP="00F51B1D">
      <w:pPr>
        <w:snapToGrid w:val="0"/>
        <w:spacing w:line="360" w:lineRule="exact"/>
        <w:ind w:firstLineChars="200" w:firstLine="420"/>
        <w:jc w:val="left"/>
        <w:rPr>
          <w:rFonts w:cs="Arial"/>
          <w:color w:val="000000"/>
          <w:kern w:val="0"/>
          <w:szCs w:val="21"/>
        </w:rPr>
      </w:pPr>
    </w:p>
    <w:p w:rsidR="00F51B1D" w:rsidRDefault="00F51B1D" w:rsidP="00F51B1D">
      <w:pPr>
        <w:snapToGrid w:val="0"/>
        <w:spacing w:line="360" w:lineRule="exact"/>
        <w:jc w:val="center"/>
        <w:rPr>
          <w:rFonts w:hAnsi="宋体" w:cs="Arial"/>
          <w:b/>
          <w:bCs/>
          <w:color w:val="000000"/>
          <w:kern w:val="0"/>
          <w:szCs w:val="21"/>
        </w:rPr>
      </w:pPr>
      <w:r w:rsidRPr="00C0081C">
        <w:rPr>
          <w:rFonts w:hAnsi="宋体" w:cs="Arial"/>
          <w:b/>
          <w:bCs/>
          <w:color w:val="000000"/>
          <w:kern w:val="0"/>
          <w:szCs w:val="21"/>
        </w:rPr>
        <w:t>第二章</w:t>
      </w:r>
      <w:r w:rsidRPr="00C0081C">
        <w:rPr>
          <w:rFonts w:cs="Arial"/>
          <w:b/>
          <w:bCs/>
          <w:color w:val="000000"/>
          <w:kern w:val="0"/>
          <w:szCs w:val="21"/>
        </w:rPr>
        <w:t xml:space="preserve"> </w:t>
      </w:r>
      <w:r w:rsidRPr="00C0081C">
        <w:rPr>
          <w:rFonts w:hAnsi="宋体" w:cs="Arial"/>
          <w:b/>
          <w:bCs/>
          <w:color w:val="000000"/>
          <w:kern w:val="0"/>
          <w:szCs w:val="21"/>
        </w:rPr>
        <w:t>监控内容</w:t>
      </w:r>
    </w:p>
    <w:p w:rsidR="00F51B1D" w:rsidRPr="00C0081C" w:rsidRDefault="00F51B1D" w:rsidP="00F51B1D">
      <w:pPr>
        <w:snapToGrid w:val="0"/>
        <w:spacing w:line="360" w:lineRule="exact"/>
        <w:jc w:val="center"/>
        <w:rPr>
          <w:rFonts w:cs="Arial"/>
          <w:color w:val="000000"/>
          <w:kern w:val="0"/>
          <w:szCs w:val="21"/>
        </w:rPr>
      </w:pP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第五条</w:t>
      </w:r>
      <w:r w:rsidRPr="00C0081C">
        <w:rPr>
          <w:rFonts w:cs="Arial" w:hint="eastAsia"/>
          <w:color w:val="000000"/>
          <w:kern w:val="0"/>
          <w:szCs w:val="21"/>
        </w:rPr>
        <w:t xml:space="preserve">  </w:t>
      </w:r>
      <w:r w:rsidRPr="00C0081C">
        <w:rPr>
          <w:rFonts w:hAnsi="宋体" w:cs="Arial"/>
          <w:color w:val="000000"/>
          <w:kern w:val="0"/>
          <w:szCs w:val="21"/>
        </w:rPr>
        <w:t>财政国库动态监控的资金范围是实行国库集中支付的财政性资金。</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第六条</w:t>
      </w:r>
      <w:r w:rsidRPr="00C0081C">
        <w:rPr>
          <w:rFonts w:cs="Arial" w:hint="eastAsia"/>
          <w:color w:val="000000"/>
          <w:kern w:val="0"/>
          <w:szCs w:val="21"/>
        </w:rPr>
        <w:t xml:space="preserve">  </w:t>
      </w:r>
      <w:r w:rsidRPr="00C0081C">
        <w:rPr>
          <w:rFonts w:hAnsi="宋体" w:cs="Arial"/>
          <w:color w:val="000000"/>
          <w:kern w:val="0"/>
          <w:szCs w:val="21"/>
        </w:rPr>
        <w:t>财政部对财政资金支付清算过程进行实时监控，监控的基本要素包括付款人名称、支付时间、付款金额、结算方式、付款用途、预算科目、支付方式、支付类型、收款人、收款人账号，以及预算指标、用款计划、银行账户等相关信息。</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第七条</w:t>
      </w:r>
      <w:r w:rsidRPr="00C0081C">
        <w:rPr>
          <w:rFonts w:cs="Arial"/>
          <w:color w:val="000000"/>
          <w:kern w:val="0"/>
          <w:szCs w:val="21"/>
        </w:rPr>
        <w:t xml:space="preserve">  </w:t>
      </w:r>
      <w:r w:rsidRPr="00C0081C">
        <w:rPr>
          <w:rFonts w:hAnsi="宋体" w:cs="Arial"/>
          <w:color w:val="000000"/>
          <w:kern w:val="0"/>
          <w:szCs w:val="21"/>
        </w:rPr>
        <w:t>财政国库动态监控的主要内容：</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（一）预算单位财政资金支付情况。</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１．是否按照财政部批准的年度预算科目、指标、支出范围和标准支付资金；</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２．是否按照国库集中支付规定的方式、程序、时限和账户等支付资金；</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３．是否按照政府采购管理规定支付采购资金；</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４．是否按照公务卡制度规定使用公务卡和报销公务支出；</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５．是否按照现金管理规定提取使用现金；</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６．是否按照财政财务管理规定的标准计提基金、发放补贴和报销费用。</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（二）代理银行代理国库集中支付业务情况。</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１．是否按照财政部或预算单位的支付指令及时、准确支付资金；</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２．是否按照国库集中支付资金银行支付清算规定清算资金；</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３．是否按照委托代理协议书规定向财政部及时、准确传输财政国库动态监控管理信息；</w:t>
      </w:r>
    </w:p>
    <w:p w:rsidR="00F51B1D" w:rsidRPr="00C0081C" w:rsidRDefault="00F51B1D" w:rsidP="00F51B1D">
      <w:pPr>
        <w:snapToGrid w:val="0"/>
        <w:spacing w:line="360" w:lineRule="exact"/>
        <w:ind w:rightChars="-91" w:right="-191" w:firstLineChars="200" w:firstLine="420"/>
        <w:jc w:val="left"/>
        <w:rPr>
          <w:rFonts w:cs="Arial"/>
          <w:color w:val="000000"/>
          <w:kern w:val="0"/>
          <w:szCs w:val="21"/>
        </w:rPr>
      </w:pPr>
      <w:r w:rsidRPr="00C0081C">
        <w:rPr>
          <w:rFonts w:hAnsi="宋体" w:cs="Arial"/>
          <w:color w:val="000000"/>
          <w:kern w:val="0"/>
          <w:szCs w:val="21"/>
        </w:rPr>
        <w:t>４．是否按照委托代理协议书规定及时向财政部报告预算单位违规支付行为。</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（三）其他需要监控的事项。</w:t>
      </w:r>
      <w:r>
        <w:rPr>
          <w:rFonts w:hAnsi="宋体" w:cs="Arial"/>
          <w:color w:val="000000"/>
          <w:kern w:val="0"/>
          <w:szCs w:val="21"/>
        </w:rPr>
        <w:br w:type="page"/>
      </w:r>
    </w:p>
    <w:p w:rsidR="00F51B1D" w:rsidRDefault="00F51B1D" w:rsidP="00F51B1D">
      <w:pPr>
        <w:snapToGrid w:val="0"/>
        <w:spacing w:line="360" w:lineRule="exact"/>
        <w:jc w:val="center"/>
        <w:rPr>
          <w:rFonts w:hAnsi="宋体" w:cs="Arial"/>
          <w:b/>
          <w:bCs/>
          <w:color w:val="000000"/>
          <w:kern w:val="0"/>
          <w:szCs w:val="21"/>
        </w:rPr>
      </w:pPr>
      <w:r w:rsidRPr="00C0081C">
        <w:rPr>
          <w:rFonts w:hAnsi="宋体" w:cs="Arial"/>
          <w:b/>
          <w:bCs/>
          <w:color w:val="000000"/>
          <w:kern w:val="0"/>
          <w:szCs w:val="21"/>
        </w:rPr>
        <w:lastRenderedPageBreak/>
        <w:t>第三章</w:t>
      </w:r>
      <w:r w:rsidRPr="00C0081C">
        <w:rPr>
          <w:rFonts w:cs="Arial"/>
          <w:b/>
          <w:bCs/>
          <w:color w:val="000000"/>
          <w:kern w:val="0"/>
          <w:szCs w:val="21"/>
        </w:rPr>
        <w:t xml:space="preserve"> </w:t>
      </w:r>
      <w:r w:rsidRPr="00C0081C">
        <w:rPr>
          <w:rFonts w:hAnsi="宋体" w:cs="Arial"/>
          <w:b/>
          <w:bCs/>
          <w:color w:val="000000"/>
          <w:kern w:val="0"/>
          <w:szCs w:val="21"/>
        </w:rPr>
        <w:t>综合核查</w:t>
      </w:r>
    </w:p>
    <w:p w:rsidR="00F51B1D" w:rsidRPr="00C0081C" w:rsidRDefault="00F51B1D" w:rsidP="00F51B1D">
      <w:pPr>
        <w:snapToGrid w:val="0"/>
        <w:spacing w:line="360" w:lineRule="exact"/>
        <w:jc w:val="center"/>
        <w:rPr>
          <w:rFonts w:cs="Arial"/>
          <w:color w:val="000000"/>
          <w:kern w:val="0"/>
          <w:szCs w:val="21"/>
        </w:rPr>
      </w:pP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第八条</w:t>
      </w:r>
      <w:r w:rsidRPr="00C0081C">
        <w:rPr>
          <w:rFonts w:cs="Arial"/>
          <w:color w:val="000000"/>
          <w:kern w:val="0"/>
          <w:szCs w:val="21"/>
        </w:rPr>
        <w:t xml:space="preserve">  </w:t>
      </w:r>
      <w:r w:rsidRPr="00C0081C">
        <w:rPr>
          <w:rFonts w:hAnsi="宋体" w:cs="Arial"/>
          <w:color w:val="000000"/>
          <w:kern w:val="0"/>
          <w:szCs w:val="21"/>
        </w:rPr>
        <w:t>财政部对财政国库动态监控发现的疑点或线索，采取电话核查、调阅材料、约谈走访、实地核查等多种核查方式进行核实，确认违规支付行为。</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第九条</w:t>
      </w:r>
      <w:r w:rsidRPr="00C0081C">
        <w:rPr>
          <w:rFonts w:cs="Arial"/>
          <w:color w:val="000000"/>
          <w:kern w:val="0"/>
          <w:szCs w:val="21"/>
        </w:rPr>
        <w:t xml:space="preserve">  </w:t>
      </w:r>
      <w:r w:rsidRPr="00C0081C">
        <w:rPr>
          <w:rFonts w:hAnsi="宋体" w:cs="Arial"/>
          <w:color w:val="000000"/>
          <w:kern w:val="0"/>
          <w:szCs w:val="21"/>
        </w:rPr>
        <w:t>财政部日常监控中发现的疑点问题，通过电话向预算单位、上级主管部门、代理银行和收款单位了解相关情况，核实确认疑点问题。</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第十条　财政部经电话核查方式不能完全核实情况的问题，通知预算单位及相关单位提供有关文件、合同、支付单据、原始凭证、账册及报表等资料，作进一步核实。根据情况，财政部可约谈或走访预算单位及相关单位，以核实情况。</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第十一条　财政部对财政国库动态监控发现的重大违规疑点或普遍性、趋势性疑点问题，进行实地核查。根据情况，财政部可委托社会中介机构、财政部驻各地财政监察专员办事处、预算单位主管部门、代理银行总行等受托机构开展实地核查。</w:t>
      </w:r>
    </w:p>
    <w:p w:rsidR="00F51B1D" w:rsidRPr="00C0081C" w:rsidRDefault="00F51B1D" w:rsidP="00F51B1D">
      <w:pPr>
        <w:snapToGrid w:val="0"/>
        <w:spacing w:line="360" w:lineRule="exact"/>
        <w:ind w:rightChars="-91" w:right="-191" w:firstLineChars="200" w:firstLine="420"/>
        <w:jc w:val="left"/>
        <w:rPr>
          <w:rFonts w:cs="Arial"/>
          <w:color w:val="000000"/>
          <w:kern w:val="0"/>
          <w:szCs w:val="21"/>
        </w:rPr>
      </w:pPr>
      <w:r w:rsidRPr="00C0081C">
        <w:rPr>
          <w:rFonts w:hAnsi="宋体" w:cs="Arial"/>
          <w:color w:val="000000"/>
          <w:kern w:val="0"/>
          <w:szCs w:val="21"/>
        </w:rPr>
        <w:t>第十二条</w:t>
      </w:r>
      <w:r w:rsidRPr="00C0081C">
        <w:rPr>
          <w:rFonts w:cs="Arial"/>
          <w:color w:val="000000"/>
          <w:kern w:val="0"/>
          <w:szCs w:val="21"/>
        </w:rPr>
        <w:t xml:space="preserve">  </w:t>
      </w:r>
      <w:r w:rsidRPr="00C0081C">
        <w:rPr>
          <w:rFonts w:hAnsi="宋体" w:cs="Arial"/>
          <w:color w:val="000000"/>
          <w:kern w:val="0"/>
          <w:szCs w:val="21"/>
        </w:rPr>
        <w:t>财政部委托核查前后，应分别制发核查工作通知和核查情况通报。</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第十三条　财政部在实施核查工作中，应做好文字记录、电子记录和资料归档工作。被核查单位提供的相关文件、资料、票据、说明须真实、合法、有效。</w:t>
      </w:r>
    </w:p>
    <w:p w:rsidR="00F51B1D" w:rsidRDefault="00F51B1D" w:rsidP="00F51B1D">
      <w:pPr>
        <w:snapToGrid w:val="0"/>
        <w:spacing w:line="360" w:lineRule="exact"/>
        <w:ind w:firstLineChars="200" w:firstLine="420"/>
        <w:jc w:val="left"/>
        <w:rPr>
          <w:rFonts w:hAnsi="宋体" w:cs="Arial"/>
          <w:color w:val="000000"/>
          <w:kern w:val="0"/>
          <w:szCs w:val="21"/>
        </w:rPr>
      </w:pPr>
      <w:r w:rsidRPr="00C0081C">
        <w:rPr>
          <w:rFonts w:hAnsi="宋体" w:cs="Arial"/>
          <w:color w:val="000000"/>
          <w:kern w:val="0"/>
          <w:szCs w:val="21"/>
        </w:rPr>
        <w:t>第十四条　财政部接到预算单位、代理银行、收款人等关于国库集中支付事项的投诉举报后，应按照相关程序及时处理投诉举报事项。</w:t>
      </w:r>
    </w:p>
    <w:p w:rsidR="00F51B1D" w:rsidRPr="00C0081C" w:rsidRDefault="00F51B1D" w:rsidP="00F51B1D">
      <w:pPr>
        <w:snapToGrid w:val="0"/>
        <w:spacing w:line="360" w:lineRule="exact"/>
        <w:ind w:firstLineChars="200" w:firstLine="420"/>
        <w:jc w:val="left"/>
        <w:rPr>
          <w:rFonts w:cs="Arial"/>
          <w:color w:val="000000"/>
          <w:kern w:val="0"/>
          <w:szCs w:val="21"/>
        </w:rPr>
      </w:pPr>
    </w:p>
    <w:p w:rsidR="00F51B1D" w:rsidRDefault="00F51B1D" w:rsidP="00F51B1D">
      <w:pPr>
        <w:snapToGrid w:val="0"/>
        <w:spacing w:line="360" w:lineRule="exact"/>
        <w:jc w:val="center"/>
        <w:rPr>
          <w:rFonts w:hAnsi="宋体" w:cs="Arial"/>
          <w:b/>
          <w:bCs/>
          <w:color w:val="000000"/>
          <w:kern w:val="0"/>
          <w:szCs w:val="21"/>
        </w:rPr>
      </w:pPr>
      <w:r w:rsidRPr="00C0081C">
        <w:rPr>
          <w:rFonts w:hAnsi="宋体" w:cs="Arial"/>
          <w:b/>
          <w:bCs/>
          <w:color w:val="000000"/>
          <w:kern w:val="0"/>
          <w:szCs w:val="21"/>
        </w:rPr>
        <w:t>第四章</w:t>
      </w:r>
      <w:r w:rsidRPr="00C0081C">
        <w:rPr>
          <w:rFonts w:cs="Arial"/>
          <w:b/>
          <w:bCs/>
          <w:color w:val="000000"/>
          <w:kern w:val="0"/>
          <w:szCs w:val="21"/>
        </w:rPr>
        <w:t xml:space="preserve"> </w:t>
      </w:r>
      <w:r w:rsidRPr="00C0081C">
        <w:rPr>
          <w:rFonts w:hAnsi="宋体" w:cs="Arial"/>
          <w:b/>
          <w:bCs/>
          <w:color w:val="000000"/>
          <w:kern w:val="0"/>
          <w:szCs w:val="21"/>
        </w:rPr>
        <w:t>违规处理</w:t>
      </w:r>
    </w:p>
    <w:p w:rsidR="00F51B1D" w:rsidRPr="00C0081C" w:rsidRDefault="00F51B1D" w:rsidP="00F51B1D">
      <w:pPr>
        <w:snapToGrid w:val="0"/>
        <w:spacing w:line="360" w:lineRule="exact"/>
        <w:jc w:val="center"/>
        <w:rPr>
          <w:rFonts w:cs="Arial"/>
          <w:color w:val="000000"/>
          <w:kern w:val="0"/>
          <w:szCs w:val="21"/>
        </w:rPr>
      </w:pP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第十五条　财政部在监控过程中，发现预算单位和代理银行存在违规行为的，在职责范围内，依据有关法律法规和制度规定，及时做出处理，涉嫌严重违规违纪的，移交有关部门进行处理。</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第十六条　预算单位存在违规行为的，根据违规程度按下列方式处理：</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（一）对因理解偏差、操作失误等发生的错误支付行为，由财政部通过电话等方式告知单位，按照正确操作方式立即予以纠正，并提出警示；</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（二）违规行为属于违反预算执行管理工作制度规定的，由财政部依法</w:t>
      </w:r>
      <w:proofErr w:type="gramStart"/>
      <w:r w:rsidRPr="00C0081C">
        <w:rPr>
          <w:rFonts w:hAnsi="宋体" w:cs="Arial"/>
          <w:color w:val="000000"/>
          <w:kern w:val="0"/>
          <w:szCs w:val="21"/>
        </w:rPr>
        <w:t>作出</w:t>
      </w:r>
      <w:proofErr w:type="gramEnd"/>
      <w:r w:rsidRPr="00C0081C">
        <w:rPr>
          <w:rFonts w:hAnsi="宋体" w:cs="Arial"/>
          <w:color w:val="000000"/>
          <w:kern w:val="0"/>
          <w:szCs w:val="21"/>
        </w:rPr>
        <w:t>退回违规资金、调整账目、补办手续等处理决定，并在财政国库动态监控系统中做好相关记录；</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（三）对不及时纠正违规行为的，实地核查中不配合核查、拒不执行处理决定、不按要求整改或虚报整改情况的，由财政部制发书面责令整改意见，要求限期予以纠正，并将违规情况通报给其上级主管部门；</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（四）对不在限期内落实书面责令整改意见的，财政部依据有关财政法律法规和制度规定可做出暂缓其用款计划批复、撤销相关银行账户等处理措施，并视情节严重程度，予以通报。</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第十七条　代理银行存在违规行为的，应将违规资金退回零余额账户或重新办理有关业务；造成损失的，按代理协议承担赔偿责任。违规情节特别严重的，财政部依据有关规定予以通报批评，并结合综合考评浮动其代理手续费，直至终止代理协议。</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第十八条　预算单位及代理银行应在核查情况通报发送３０个工作日内对通报的问题</w:t>
      </w:r>
      <w:proofErr w:type="gramStart"/>
      <w:r w:rsidRPr="00C0081C">
        <w:rPr>
          <w:rFonts w:hAnsi="宋体" w:cs="Arial"/>
          <w:color w:val="000000"/>
          <w:kern w:val="0"/>
          <w:szCs w:val="21"/>
        </w:rPr>
        <w:lastRenderedPageBreak/>
        <w:t>作出</w:t>
      </w:r>
      <w:proofErr w:type="gramEnd"/>
      <w:r w:rsidRPr="00C0081C">
        <w:rPr>
          <w:rFonts w:hAnsi="宋体" w:cs="Arial"/>
          <w:color w:val="000000"/>
          <w:kern w:val="0"/>
          <w:szCs w:val="21"/>
        </w:rPr>
        <w:t xml:space="preserve">整改，并将整改情况书面反馈财政部。财政部建立违规整改跟踪反馈机制，监督整改结果和成效。　</w:t>
      </w:r>
    </w:p>
    <w:p w:rsidR="00F51B1D" w:rsidRDefault="00F51B1D" w:rsidP="00F51B1D">
      <w:pPr>
        <w:snapToGrid w:val="0"/>
        <w:spacing w:line="360" w:lineRule="exact"/>
        <w:ind w:firstLineChars="200" w:firstLine="420"/>
        <w:jc w:val="left"/>
        <w:rPr>
          <w:rFonts w:hAnsi="宋体" w:cs="Arial"/>
          <w:color w:val="000000"/>
          <w:kern w:val="0"/>
          <w:szCs w:val="21"/>
        </w:rPr>
      </w:pPr>
      <w:r w:rsidRPr="00C0081C">
        <w:rPr>
          <w:rFonts w:hAnsi="宋体" w:cs="Arial"/>
          <w:color w:val="000000"/>
          <w:kern w:val="0"/>
          <w:szCs w:val="21"/>
        </w:rPr>
        <w:t>第十九条　预算单位对财政部处理决定不服的，依法申请行政复议或提起行政诉讼；代理银行对在履行代理协议过程中产生的争议，可依照代理协议的规定申请仲裁或提起民事诉讼。</w:t>
      </w:r>
    </w:p>
    <w:p w:rsidR="00F51B1D" w:rsidRPr="00C0081C" w:rsidRDefault="00F51B1D" w:rsidP="00F51B1D">
      <w:pPr>
        <w:snapToGrid w:val="0"/>
        <w:spacing w:line="360" w:lineRule="exact"/>
        <w:ind w:firstLineChars="200" w:firstLine="420"/>
        <w:jc w:val="left"/>
        <w:rPr>
          <w:rFonts w:cs="Arial"/>
          <w:color w:val="000000"/>
          <w:kern w:val="0"/>
          <w:szCs w:val="21"/>
        </w:rPr>
      </w:pPr>
    </w:p>
    <w:p w:rsidR="00F51B1D" w:rsidRDefault="00F51B1D" w:rsidP="00F51B1D">
      <w:pPr>
        <w:snapToGrid w:val="0"/>
        <w:spacing w:line="360" w:lineRule="exact"/>
        <w:jc w:val="center"/>
        <w:rPr>
          <w:rFonts w:hAnsi="宋体" w:cs="Arial"/>
          <w:b/>
          <w:bCs/>
          <w:color w:val="000000"/>
          <w:kern w:val="0"/>
          <w:szCs w:val="21"/>
        </w:rPr>
      </w:pPr>
      <w:r w:rsidRPr="00C0081C">
        <w:rPr>
          <w:rFonts w:hAnsi="宋体" w:cs="Arial"/>
          <w:b/>
          <w:bCs/>
          <w:color w:val="000000"/>
          <w:kern w:val="0"/>
          <w:szCs w:val="21"/>
        </w:rPr>
        <w:t>第五章</w:t>
      </w:r>
      <w:r w:rsidRPr="00C0081C">
        <w:rPr>
          <w:rFonts w:cs="Arial"/>
          <w:b/>
          <w:bCs/>
          <w:color w:val="000000"/>
          <w:kern w:val="0"/>
          <w:szCs w:val="21"/>
        </w:rPr>
        <w:t xml:space="preserve"> </w:t>
      </w:r>
      <w:r w:rsidRPr="00C0081C">
        <w:rPr>
          <w:rFonts w:hAnsi="宋体" w:cs="Arial"/>
          <w:b/>
          <w:bCs/>
          <w:color w:val="000000"/>
          <w:kern w:val="0"/>
          <w:szCs w:val="21"/>
        </w:rPr>
        <w:t>管理职责</w:t>
      </w:r>
    </w:p>
    <w:p w:rsidR="00F51B1D" w:rsidRPr="00C0081C" w:rsidRDefault="00F51B1D" w:rsidP="00F51B1D">
      <w:pPr>
        <w:snapToGrid w:val="0"/>
        <w:spacing w:line="360" w:lineRule="exact"/>
        <w:jc w:val="center"/>
        <w:rPr>
          <w:rFonts w:cs="Arial"/>
          <w:color w:val="000000"/>
          <w:kern w:val="0"/>
          <w:szCs w:val="21"/>
        </w:rPr>
      </w:pP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第二十条</w:t>
      </w:r>
      <w:r w:rsidRPr="00C0081C">
        <w:rPr>
          <w:rFonts w:cs="Arial"/>
          <w:color w:val="000000"/>
          <w:kern w:val="0"/>
          <w:szCs w:val="21"/>
        </w:rPr>
        <w:t xml:space="preserve">  </w:t>
      </w:r>
      <w:r w:rsidRPr="00C0081C">
        <w:rPr>
          <w:rFonts w:hAnsi="宋体" w:cs="Arial"/>
          <w:color w:val="000000"/>
          <w:kern w:val="0"/>
          <w:szCs w:val="21"/>
        </w:rPr>
        <w:t>财政部在财政国库动态监控中的主要职责：</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（一）研究制定财政国库动态监控管理制度。</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（二）组织开展日常监控、问题核查和违规处理工作，建立核查通报制度。</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（三）会同中央部门建立健全监控工作互动机制。</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（四）受理国库集中支付投诉，依照权限及时进行调查和处理。</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（五）管理和维护财政国库动态监控系统。</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第二十一条　预算单位在财政国库动态监控中的主要职责：</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（一）按财政国库管理制度规定支付使用财政资金，并做好相应的财务管理和会计核算工作。</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（二）按照财政部动态监控核查要求，及时、完整、准确地提供有关资料。</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（三）对财政部发现的违规行为及时进行纠正和整改，并按要求将整改结果及时反馈财政部。</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（四）中央部门对所属单位国库集中支付工作负有监督管理职责，负责与财政部建立监控工作互动机制。</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第二十二条　代理银行在财政国库动态监控中的主要职责：</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（一）按照财政国库管理制度规定的业务流程和规范支付清算资金。</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（二）对财政国库动态监控发现的疑点问题应及时核实，完整准确提供有关资料，对所属分支机构国库集中支付业务负有监督管理职责，与财政部建立监控工作互动机制。</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（三）发现预算单位违规支付事项，应及时向财政部报告相关情况。</w:t>
      </w:r>
    </w:p>
    <w:p w:rsidR="00F51B1D" w:rsidRDefault="00F51B1D" w:rsidP="00F51B1D">
      <w:pPr>
        <w:snapToGrid w:val="0"/>
        <w:spacing w:line="360" w:lineRule="exact"/>
        <w:ind w:firstLineChars="200" w:firstLine="420"/>
        <w:jc w:val="left"/>
        <w:rPr>
          <w:rFonts w:hAnsi="宋体" w:cs="Arial"/>
          <w:color w:val="000000"/>
          <w:kern w:val="0"/>
          <w:szCs w:val="21"/>
        </w:rPr>
      </w:pPr>
      <w:r w:rsidRPr="00C0081C">
        <w:rPr>
          <w:rFonts w:hAnsi="宋体" w:cs="Arial"/>
          <w:color w:val="000000"/>
          <w:kern w:val="0"/>
          <w:szCs w:val="21"/>
        </w:rPr>
        <w:t>（四）按财政部需求，及时、准确将国库集中支付信息传输至财政国库监控系统。</w:t>
      </w:r>
    </w:p>
    <w:p w:rsidR="00F51B1D" w:rsidRPr="00C0081C" w:rsidRDefault="00F51B1D" w:rsidP="00F51B1D">
      <w:pPr>
        <w:snapToGrid w:val="0"/>
        <w:spacing w:line="360" w:lineRule="exact"/>
        <w:ind w:firstLineChars="200" w:firstLine="420"/>
        <w:jc w:val="left"/>
        <w:rPr>
          <w:rFonts w:cs="Arial"/>
          <w:color w:val="000000"/>
          <w:kern w:val="0"/>
          <w:szCs w:val="21"/>
        </w:rPr>
      </w:pPr>
    </w:p>
    <w:p w:rsidR="00F51B1D" w:rsidRDefault="00F51B1D" w:rsidP="00F51B1D">
      <w:pPr>
        <w:snapToGrid w:val="0"/>
        <w:spacing w:line="360" w:lineRule="exact"/>
        <w:jc w:val="center"/>
        <w:rPr>
          <w:rFonts w:hAnsi="宋体" w:cs="Arial"/>
          <w:b/>
          <w:bCs/>
          <w:color w:val="000000"/>
          <w:kern w:val="0"/>
          <w:szCs w:val="21"/>
        </w:rPr>
      </w:pPr>
      <w:r w:rsidRPr="00C0081C">
        <w:rPr>
          <w:rFonts w:hAnsi="宋体" w:cs="Arial"/>
          <w:b/>
          <w:bCs/>
          <w:color w:val="000000"/>
          <w:kern w:val="0"/>
          <w:szCs w:val="21"/>
        </w:rPr>
        <w:t>第六章</w:t>
      </w:r>
      <w:r w:rsidRPr="00C0081C">
        <w:rPr>
          <w:rFonts w:cs="Arial"/>
          <w:b/>
          <w:bCs/>
          <w:color w:val="000000"/>
          <w:kern w:val="0"/>
          <w:szCs w:val="21"/>
        </w:rPr>
        <w:t> </w:t>
      </w:r>
      <w:r>
        <w:rPr>
          <w:rFonts w:cs="Arial" w:hint="eastAsia"/>
          <w:b/>
          <w:bCs/>
          <w:color w:val="000000"/>
          <w:kern w:val="0"/>
          <w:szCs w:val="21"/>
        </w:rPr>
        <w:t xml:space="preserve"> </w:t>
      </w:r>
      <w:r w:rsidRPr="00C0081C">
        <w:rPr>
          <w:rFonts w:hAnsi="宋体" w:cs="Arial"/>
          <w:b/>
          <w:bCs/>
          <w:color w:val="000000"/>
          <w:kern w:val="0"/>
          <w:szCs w:val="21"/>
        </w:rPr>
        <w:t>附</w:t>
      </w:r>
      <w:r w:rsidRPr="00C0081C">
        <w:rPr>
          <w:rFonts w:cs="Arial"/>
          <w:b/>
          <w:bCs/>
          <w:color w:val="000000"/>
          <w:kern w:val="0"/>
          <w:szCs w:val="21"/>
        </w:rPr>
        <w:t xml:space="preserve"> </w:t>
      </w:r>
      <w:r w:rsidRPr="00C0081C">
        <w:rPr>
          <w:rFonts w:hAnsi="宋体" w:cs="Arial"/>
          <w:b/>
          <w:bCs/>
          <w:color w:val="000000"/>
          <w:kern w:val="0"/>
          <w:szCs w:val="21"/>
        </w:rPr>
        <w:t>则</w:t>
      </w:r>
    </w:p>
    <w:p w:rsidR="00F51B1D" w:rsidRPr="00C0081C" w:rsidRDefault="00F51B1D" w:rsidP="00F51B1D">
      <w:pPr>
        <w:snapToGrid w:val="0"/>
        <w:spacing w:line="360" w:lineRule="exact"/>
        <w:jc w:val="center"/>
        <w:rPr>
          <w:rFonts w:cs="Arial"/>
          <w:color w:val="000000"/>
          <w:kern w:val="0"/>
          <w:szCs w:val="21"/>
        </w:rPr>
      </w:pP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第二十三条　中央对地方专项转移支付资金国库集中支付动态监控管理办法，由财政部另行制定。</w:t>
      </w:r>
    </w:p>
    <w:p w:rsidR="00F51B1D" w:rsidRPr="00C0081C" w:rsidRDefault="00F51B1D" w:rsidP="00F51B1D">
      <w:pPr>
        <w:snapToGrid w:val="0"/>
        <w:spacing w:line="360" w:lineRule="exact"/>
        <w:ind w:firstLineChars="200" w:firstLine="420"/>
        <w:jc w:val="left"/>
        <w:rPr>
          <w:rFonts w:cs="Arial"/>
          <w:color w:val="000000"/>
          <w:kern w:val="0"/>
          <w:szCs w:val="21"/>
        </w:rPr>
      </w:pPr>
      <w:r w:rsidRPr="00C0081C">
        <w:rPr>
          <w:rFonts w:hAnsi="宋体" w:cs="Arial"/>
          <w:color w:val="000000"/>
          <w:kern w:val="0"/>
          <w:szCs w:val="21"/>
        </w:rPr>
        <w:t>第二十四条　地方财政国库动态监控管理工作参照本办法执行。</w:t>
      </w:r>
    </w:p>
    <w:p w:rsidR="00F51B1D" w:rsidRPr="00C0081C" w:rsidRDefault="00F51B1D" w:rsidP="00F51B1D">
      <w:pPr>
        <w:snapToGrid w:val="0"/>
        <w:spacing w:line="360" w:lineRule="exact"/>
        <w:ind w:firstLineChars="200" w:firstLine="420"/>
        <w:jc w:val="left"/>
        <w:rPr>
          <w:rFonts w:cs="Arial"/>
          <w:b/>
          <w:bCs/>
          <w:color w:val="000000"/>
          <w:kern w:val="0"/>
          <w:szCs w:val="21"/>
        </w:rPr>
      </w:pPr>
      <w:r w:rsidRPr="00C0081C">
        <w:rPr>
          <w:rFonts w:hAnsi="宋体" w:cs="Arial"/>
          <w:color w:val="000000"/>
          <w:kern w:val="0"/>
          <w:szCs w:val="21"/>
        </w:rPr>
        <w:t>第二十五条</w:t>
      </w:r>
      <w:r w:rsidRPr="00C0081C">
        <w:rPr>
          <w:rFonts w:cs="Arial"/>
          <w:color w:val="000000"/>
          <w:kern w:val="0"/>
          <w:szCs w:val="21"/>
        </w:rPr>
        <w:t xml:space="preserve">  </w:t>
      </w:r>
      <w:r w:rsidRPr="00C0081C">
        <w:rPr>
          <w:rFonts w:hAnsi="宋体" w:cs="Arial"/>
          <w:color w:val="000000"/>
          <w:kern w:val="0"/>
          <w:szCs w:val="21"/>
        </w:rPr>
        <w:t>本办法自</w:t>
      </w:r>
      <w:r>
        <w:rPr>
          <w:rFonts w:hAnsi="宋体" w:cs="Arial" w:hint="eastAsia"/>
          <w:color w:val="000000"/>
          <w:kern w:val="0"/>
          <w:szCs w:val="21"/>
        </w:rPr>
        <w:t>2014</w:t>
      </w:r>
      <w:r w:rsidRPr="00C0081C">
        <w:rPr>
          <w:rFonts w:hAnsi="宋体" w:cs="Arial"/>
          <w:color w:val="000000"/>
          <w:kern w:val="0"/>
          <w:szCs w:val="21"/>
        </w:rPr>
        <w:t>年</w:t>
      </w:r>
      <w:r>
        <w:rPr>
          <w:rFonts w:hAnsi="宋体" w:cs="Arial" w:hint="eastAsia"/>
          <w:color w:val="000000"/>
          <w:kern w:val="0"/>
          <w:szCs w:val="21"/>
        </w:rPr>
        <w:t>1</w:t>
      </w:r>
      <w:r w:rsidRPr="00C0081C">
        <w:rPr>
          <w:rFonts w:hAnsi="宋体" w:cs="Arial"/>
          <w:color w:val="000000"/>
          <w:kern w:val="0"/>
          <w:szCs w:val="21"/>
        </w:rPr>
        <w:t>月</w:t>
      </w:r>
      <w:r>
        <w:rPr>
          <w:rFonts w:hAnsi="宋体" w:cs="Arial" w:hint="eastAsia"/>
          <w:color w:val="000000"/>
          <w:kern w:val="0"/>
          <w:szCs w:val="21"/>
        </w:rPr>
        <w:t>16</w:t>
      </w:r>
      <w:r w:rsidRPr="00C0081C">
        <w:rPr>
          <w:rFonts w:hAnsi="宋体" w:cs="Arial"/>
          <w:color w:val="000000"/>
          <w:kern w:val="0"/>
          <w:szCs w:val="21"/>
        </w:rPr>
        <w:t>日起施行。</w:t>
      </w:r>
    </w:p>
    <w:p w:rsidR="00F51B1D" w:rsidRPr="00C0081C" w:rsidRDefault="00F51B1D" w:rsidP="00F51B1D">
      <w:pPr>
        <w:snapToGrid w:val="0"/>
        <w:spacing w:line="360" w:lineRule="auto"/>
        <w:ind w:firstLineChars="200" w:firstLine="480"/>
        <w:rPr>
          <w:rFonts w:eastAsia="华文细黑"/>
          <w:color w:val="000000"/>
          <w:sz w:val="24"/>
        </w:rPr>
      </w:pPr>
    </w:p>
    <w:p w:rsidR="00166C9A" w:rsidRPr="00F51B1D" w:rsidRDefault="00166C9A"/>
    <w:sectPr w:rsidR="00166C9A" w:rsidRPr="00F51B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1D"/>
    <w:rsid w:val="00166C9A"/>
    <w:rsid w:val="00F51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B1D"/>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F51B1D"/>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51B1D"/>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B1D"/>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F51B1D"/>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51B1D"/>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2707</Characters>
  <Application>Microsoft Office Word</Application>
  <DocSecurity>0</DocSecurity>
  <Lines>22</Lines>
  <Paragraphs>6</Paragraphs>
  <ScaleCrop>false</ScaleCrop>
  <Company>china</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2016-11-05T08:51:00Z</dcterms:created>
  <dcterms:modified xsi:type="dcterms:W3CDTF">2016-11-05T08:52:00Z</dcterms:modified>
</cp:coreProperties>
</file>