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312" w:after="156"/>
      </w:pPr>
      <w:bookmarkStart w:id="0" w:name="_Toc445994241"/>
      <w:bookmarkStart w:id="1" w:name="_Toc465091477"/>
      <w:r>
        <w:rPr>
          <w:rFonts w:hint="eastAsia"/>
        </w:rPr>
        <w:t xml:space="preserve"> </w:t>
      </w:r>
      <w:r>
        <w:t>财政部关于中央行政事业单位资金往来结算票据使用管理等有关问题的通知</w:t>
      </w:r>
      <w:bookmarkEnd w:id="0"/>
      <w:bookmarkEnd w:id="1"/>
    </w:p>
    <w:p>
      <w:pPr>
        <w:spacing w:line="360" w:lineRule="exact"/>
        <w:jc w:val="center"/>
        <w:rPr>
          <w:rFonts w:hAnsiTheme="minorEastAsia" w:eastAsiaTheme="minorEastAsia"/>
          <w:color w:val="000000"/>
          <w:kern w:val="0"/>
          <w:szCs w:val="21"/>
        </w:rPr>
      </w:pPr>
      <w:r>
        <w:rPr>
          <w:rFonts w:hAnsiTheme="minorEastAsia" w:eastAsiaTheme="minorEastAsia"/>
          <w:color w:val="000000"/>
          <w:kern w:val="0"/>
          <w:szCs w:val="21"/>
        </w:rPr>
        <w:t>财综</w:t>
      </w:r>
      <w:r>
        <w:rPr>
          <w:rFonts w:eastAsiaTheme="minorEastAsia"/>
          <w:color w:val="000000"/>
          <w:kern w:val="0"/>
          <w:szCs w:val="21"/>
        </w:rPr>
        <w:t>[2010]7</w:t>
      </w:r>
      <w:r>
        <w:rPr>
          <w:rFonts w:hAnsiTheme="minorEastAsia" w:eastAsiaTheme="minorEastAsia"/>
          <w:color w:val="000000"/>
          <w:kern w:val="0"/>
          <w:szCs w:val="21"/>
        </w:rPr>
        <w:t>号</w:t>
      </w:r>
    </w:p>
    <w:p>
      <w:pPr>
        <w:spacing w:line="360" w:lineRule="exact"/>
        <w:jc w:val="center"/>
        <w:rPr>
          <w:rFonts w:eastAsiaTheme="minorEastAsia"/>
          <w:color w:val="000000"/>
          <w:kern w:val="0"/>
          <w:szCs w:val="21"/>
        </w:rPr>
      </w:pPr>
    </w:p>
    <w:p>
      <w:pPr>
        <w:spacing w:line="360" w:lineRule="exact"/>
        <w:rPr>
          <w:rFonts w:eastAsiaTheme="minorEastAsia"/>
          <w:color w:val="000000"/>
          <w:kern w:val="0"/>
          <w:szCs w:val="21"/>
        </w:rPr>
      </w:pPr>
      <w:r>
        <w:rPr>
          <w:rFonts w:hAnsiTheme="minorEastAsia" w:eastAsiaTheme="minorEastAsia"/>
          <w:color w:val="000000"/>
          <w:kern w:val="0"/>
          <w:szCs w:val="21"/>
        </w:rPr>
        <w:t>党中央有关部门，国务院各部委、各直属机构，</w:t>
      </w:r>
      <w:r>
        <w:rPr>
          <w:rFonts w:hint="eastAsia" w:hAnsiTheme="minorEastAsia" w:eastAsiaTheme="minorEastAsia"/>
          <w:color w:val="000000"/>
          <w:kern w:val="0"/>
          <w:szCs w:val="21"/>
          <w:lang w:eastAsia="zh-CN"/>
        </w:rPr>
        <w:t>全国人大常委会办公厅</w:t>
      </w:r>
      <w:bookmarkStart w:id="2" w:name="_GoBack"/>
      <w:bookmarkEnd w:id="2"/>
      <w:r>
        <w:rPr>
          <w:rFonts w:hAnsiTheme="minorEastAsia" w:eastAsiaTheme="minorEastAsia"/>
          <w:color w:val="000000"/>
          <w:kern w:val="0"/>
          <w:szCs w:val="21"/>
        </w:rPr>
        <w:t>，全国政协办公厅，高法院，高检院，有关人民团体，有关中央管理企业：</w:t>
      </w:r>
    </w:p>
    <w:p>
      <w:pPr>
        <w:spacing w:line="360" w:lineRule="exact"/>
        <w:rPr>
          <w:rFonts w:eastAsiaTheme="minorEastAsia"/>
          <w:color w:val="000000"/>
          <w:kern w:val="0"/>
          <w:szCs w:val="21"/>
        </w:rPr>
      </w:pPr>
      <w:r>
        <w:rPr>
          <w:rFonts w:hAnsiTheme="minorEastAsia" w:eastAsiaTheme="minorEastAsia"/>
          <w:color w:val="000000"/>
          <w:kern w:val="0"/>
          <w:szCs w:val="21"/>
        </w:rPr>
        <w:t>　　根据财政部印发的《</w:t>
      </w:r>
      <w:r>
        <w:fldChar w:fldCharType="begin"/>
      </w:r>
      <w:r>
        <w:instrText xml:space="preserve"> HYPERLINK "http://www.chinaacc.com/new/63_64_/2010_1_20_wa891603748021010210680.shtml" \t "_blank" </w:instrText>
      </w:r>
      <w:r>
        <w:fldChar w:fldCharType="separate"/>
      </w:r>
      <w:r>
        <w:rPr>
          <w:rFonts w:hAnsiTheme="minorEastAsia" w:eastAsiaTheme="minorEastAsia"/>
          <w:color w:val="000000"/>
          <w:kern w:val="0"/>
          <w:szCs w:val="21"/>
        </w:rPr>
        <w:t>行政事业单位资金往来结算票据使用管理暂行办法</w:t>
      </w:r>
      <w:r>
        <w:rPr>
          <w:rFonts w:hAnsiTheme="minorEastAsia" w:eastAsiaTheme="minorEastAsia"/>
          <w:color w:val="000000"/>
          <w:kern w:val="0"/>
          <w:szCs w:val="21"/>
        </w:rPr>
        <w:fldChar w:fldCharType="end"/>
      </w:r>
      <w:r>
        <w:rPr>
          <w:rFonts w:hAnsiTheme="minorEastAsia" w:eastAsiaTheme="minorEastAsia"/>
          <w:color w:val="000000"/>
          <w:kern w:val="0"/>
          <w:szCs w:val="21"/>
        </w:rPr>
        <w:t>》（财综</w:t>
      </w:r>
      <w:r>
        <w:rPr>
          <w:rFonts w:eastAsiaTheme="minorEastAsia"/>
          <w:color w:val="000000"/>
          <w:kern w:val="0"/>
          <w:szCs w:val="21"/>
        </w:rPr>
        <w:t>[2010]1</w:t>
      </w:r>
      <w:r>
        <w:rPr>
          <w:rFonts w:hAnsiTheme="minorEastAsia" w:eastAsiaTheme="minorEastAsia"/>
          <w:color w:val="000000"/>
          <w:kern w:val="0"/>
          <w:szCs w:val="21"/>
        </w:rPr>
        <w:t>号）的规定，现就中央行政事业单位资金往来结算票据（以下简称资金往来结算票据）使用管理等有关事宜通知如下：</w:t>
      </w:r>
    </w:p>
    <w:p>
      <w:pPr>
        <w:spacing w:line="360" w:lineRule="exact"/>
        <w:rPr>
          <w:rFonts w:eastAsiaTheme="minorEastAsia"/>
          <w:color w:val="000000"/>
          <w:kern w:val="0"/>
          <w:szCs w:val="21"/>
        </w:rPr>
      </w:pPr>
      <w:r>
        <w:rPr>
          <w:rFonts w:hAnsiTheme="minorEastAsia" w:eastAsiaTheme="minorEastAsia"/>
          <w:b/>
          <w:bCs/>
          <w:color w:val="000000"/>
          <w:kern w:val="0"/>
          <w:szCs w:val="21"/>
        </w:rPr>
        <w:t>　　一、认真做好资金往来结算票据启用的各项准备工作</w:t>
      </w:r>
    </w:p>
    <w:p>
      <w:pPr>
        <w:spacing w:line="360" w:lineRule="exact"/>
        <w:rPr>
          <w:rFonts w:eastAsiaTheme="minorEastAsia"/>
          <w:color w:val="000000"/>
          <w:kern w:val="0"/>
          <w:szCs w:val="21"/>
        </w:rPr>
      </w:pPr>
      <w:r>
        <w:rPr>
          <w:rFonts w:hAnsiTheme="minorEastAsia" w:eastAsiaTheme="minorEastAsia"/>
          <w:color w:val="000000"/>
          <w:kern w:val="0"/>
          <w:szCs w:val="21"/>
        </w:rPr>
        <w:t>　　按照财综</w:t>
      </w:r>
      <w:r>
        <w:rPr>
          <w:rFonts w:eastAsiaTheme="minorEastAsia"/>
          <w:color w:val="000000"/>
          <w:kern w:val="0"/>
          <w:szCs w:val="21"/>
        </w:rPr>
        <w:t>[2010]1</w:t>
      </w:r>
      <w:r>
        <w:rPr>
          <w:rFonts w:hAnsiTheme="minorEastAsia" w:eastAsiaTheme="minorEastAsia"/>
          <w:color w:val="000000"/>
          <w:kern w:val="0"/>
          <w:szCs w:val="21"/>
        </w:rPr>
        <w:t>号文件的规定，从</w:t>
      </w:r>
      <w:r>
        <w:rPr>
          <w:rFonts w:eastAsiaTheme="minorEastAsia"/>
          <w:color w:val="000000"/>
          <w:kern w:val="0"/>
          <w:szCs w:val="21"/>
        </w:rPr>
        <w:t>2010</w:t>
      </w:r>
      <w:r>
        <w:rPr>
          <w:rFonts w:hAnsiTheme="minorEastAsia" w:eastAsiaTheme="minorEastAsia"/>
          <w:color w:val="000000"/>
          <w:kern w:val="0"/>
          <w:szCs w:val="21"/>
        </w:rPr>
        <w:t>年</w:t>
      </w:r>
      <w:r>
        <w:rPr>
          <w:rFonts w:eastAsiaTheme="minorEastAsia"/>
          <w:color w:val="000000"/>
          <w:kern w:val="0"/>
          <w:szCs w:val="21"/>
        </w:rPr>
        <w:t>7</w:t>
      </w:r>
      <w:r>
        <w:rPr>
          <w:rFonts w:hAnsiTheme="minorEastAsia" w:eastAsiaTheme="minorEastAsia"/>
          <w:color w:val="000000"/>
          <w:kern w:val="0"/>
          <w:szCs w:val="21"/>
        </w:rPr>
        <w:t>月</w:t>
      </w:r>
      <w:r>
        <w:rPr>
          <w:rFonts w:eastAsiaTheme="minorEastAsia"/>
          <w:color w:val="000000"/>
          <w:kern w:val="0"/>
          <w:szCs w:val="21"/>
        </w:rPr>
        <w:t>1</w:t>
      </w:r>
      <w:r>
        <w:rPr>
          <w:rFonts w:hAnsiTheme="minorEastAsia" w:eastAsiaTheme="minorEastAsia"/>
          <w:color w:val="000000"/>
          <w:kern w:val="0"/>
          <w:szCs w:val="21"/>
        </w:rPr>
        <w:t>日起，资金往来结算票据将正式启用，现行中央单位资金往来收据（以下简称资金往来收据）将同时废止并停止使用。</w:t>
      </w:r>
    </w:p>
    <w:p>
      <w:pPr>
        <w:spacing w:line="360" w:lineRule="exact"/>
        <w:rPr>
          <w:rFonts w:eastAsiaTheme="minorEastAsia"/>
          <w:color w:val="000000"/>
          <w:kern w:val="0"/>
          <w:szCs w:val="21"/>
        </w:rPr>
      </w:pPr>
      <w:r>
        <w:rPr>
          <w:rFonts w:hAnsiTheme="minorEastAsia" w:eastAsiaTheme="minorEastAsia"/>
          <w:color w:val="000000"/>
          <w:kern w:val="0"/>
          <w:szCs w:val="21"/>
        </w:rPr>
        <w:t>　　为使中央行政事业单位了解和掌握资金往来结算票据使用管理政策，中央行政事业单位要及时将财综</w:t>
      </w:r>
      <w:r>
        <w:rPr>
          <w:rFonts w:eastAsiaTheme="minorEastAsia"/>
          <w:color w:val="000000"/>
          <w:kern w:val="0"/>
          <w:szCs w:val="21"/>
        </w:rPr>
        <w:t>[2010]1</w:t>
      </w:r>
      <w:r>
        <w:rPr>
          <w:rFonts w:hAnsiTheme="minorEastAsia" w:eastAsiaTheme="minorEastAsia"/>
          <w:color w:val="000000"/>
          <w:kern w:val="0"/>
          <w:szCs w:val="21"/>
        </w:rPr>
        <w:t>号文件转发至所属相关单位，组织所属相关单位的财会人员认真学习财综</w:t>
      </w:r>
      <w:r>
        <w:rPr>
          <w:rFonts w:eastAsiaTheme="minorEastAsia"/>
          <w:color w:val="000000"/>
          <w:kern w:val="0"/>
          <w:szCs w:val="21"/>
        </w:rPr>
        <w:t>[2010]1</w:t>
      </w:r>
      <w:r>
        <w:rPr>
          <w:rFonts w:hAnsiTheme="minorEastAsia" w:eastAsiaTheme="minorEastAsia"/>
          <w:color w:val="000000"/>
          <w:kern w:val="0"/>
          <w:szCs w:val="21"/>
        </w:rPr>
        <w:t>号文件各项规定，准确把握财综</w:t>
      </w:r>
      <w:r>
        <w:rPr>
          <w:rFonts w:eastAsiaTheme="minorEastAsia"/>
          <w:color w:val="000000"/>
          <w:kern w:val="0"/>
          <w:szCs w:val="21"/>
        </w:rPr>
        <w:t>[2010]1</w:t>
      </w:r>
      <w:r>
        <w:rPr>
          <w:rFonts w:hAnsiTheme="minorEastAsia" w:eastAsiaTheme="minorEastAsia"/>
          <w:color w:val="000000"/>
          <w:kern w:val="0"/>
          <w:szCs w:val="21"/>
        </w:rPr>
        <w:t>号文件适用范围，做好资金往来结算票据正式启用的各项准备工作。</w:t>
      </w:r>
    </w:p>
    <w:p>
      <w:pPr>
        <w:spacing w:line="360" w:lineRule="exact"/>
        <w:rPr>
          <w:rFonts w:eastAsiaTheme="minorEastAsia"/>
          <w:color w:val="000000"/>
          <w:kern w:val="0"/>
          <w:szCs w:val="21"/>
        </w:rPr>
      </w:pPr>
      <w:r>
        <w:rPr>
          <w:rFonts w:hAnsiTheme="minorEastAsia" w:eastAsiaTheme="minorEastAsia"/>
          <w:color w:val="000000"/>
          <w:kern w:val="0"/>
          <w:szCs w:val="21"/>
        </w:rPr>
        <w:t>　　与此同时，中央行政事业单位要做好资金往来收据的清理登记工作，在</w:t>
      </w:r>
      <w:r>
        <w:rPr>
          <w:rFonts w:eastAsiaTheme="minorEastAsia"/>
          <w:color w:val="000000"/>
          <w:kern w:val="0"/>
          <w:szCs w:val="21"/>
        </w:rPr>
        <w:t>2010</w:t>
      </w:r>
      <w:r>
        <w:rPr>
          <w:rFonts w:hAnsiTheme="minorEastAsia" w:eastAsiaTheme="minorEastAsia"/>
          <w:color w:val="000000"/>
          <w:kern w:val="0"/>
          <w:szCs w:val="21"/>
        </w:rPr>
        <w:t>年</w:t>
      </w:r>
      <w:r>
        <w:rPr>
          <w:rFonts w:eastAsiaTheme="minorEastAsia"/>
          <w:color w:val="000000"/>
          <w:kern w:val="0"/>
          <w:szCs w:val="21"/>
        </w:rPr>
        <w:t>7</w:t>
      </w:r>
      <w:r>
        <w:rPr>
          <w:rFonts w:hAnsiTheme="minorEastAsia" w:eastAsiaTheme="minorEastAsia"/>
          <w:color w:val="000000"/>
          <w:kern w:val="0"/>
          <w:szCs w:val="21"/>
        </w:rPr>
        <w:t>月</w:t>
      </w:r>
      <w:r>
        <w:rPr>
          <w:rFonts w:eastAsiaTheme="minorEastAsia"/>
          <w:color w:val="000000"/>
          <w:kern w:val="0"/>
          <w:szCs w:val="21"/>
        </w:rPr>
        <w:t>1</w:t>
      </w:r>
      <w:r>
        <w:rPr>
          <w:rFonts w:hAnsiTheme="minorEastAsia" w:eastAsiaTheme="minorEastAsia"/>
          <w:color w:val="000000"/>
          <w:kern w:val="0"/>
          <w:szCs w:val="21"/>
        </w:rPr>
        <w:t>日</w:t>
      </w:r>
      <w:r>
        <w:rPr>
          <w:rFonts w:eastAsiaTheme="minorEastAsia"/>
          <w:color w:val="000000"/>
          <w:kern w:val="0"/>
          <w:szCs w:val="21"/>
        </w:rPr>
        <w:t>-2010</w:t>
      </w:r>
      <w:r>
        <w:rPr>
          <w:rFonts w:hAnsiTheme="minorEastAsia" w:eastAsiaTheme="minorEastAsia"/>
          <w:color w:val="000000"/>
          <w:kern w:val="0"/>
          <w:szCs w:val="21"/>
        </w:rPr>
        <w:t>年</w:t>
      </w:r>
      <w:r>
        <w:rPr>
          <w:rFonts w:eastAsiaTheme="minorEastAsia"/>
          <w:color w:val="000000"/>
          <w:kern w:val="0"/>
          <w:szCs w:val="21"/>
        </w:rPr>
        <w:t>12</w:t>
      </w:r>
      <w:r>
        <w:rPr>
          <w:rFonts w:hAnsiTheme="minorEastAsia" w:eastAsiaTheme="minorEastAsia"/>
          <w:color w:val="000000"/>
          <w:kern w:val="0"/>
          <w:szCs w:val="21"/>
        </w:rPr>
        <w:t>月</w:t>
      </w:r>
      <w:r>
        <w:rPr>
          <w:rFonts w:eastAsiaTheme="minorEastAsia"/>
          <w:color w:val="000000"/>
          <w:kern w:val="0"/>
          <w:szCs w:val="21"/>
        </w:rPr>
        <w:t>31</w:t>
      </w:r>
      <w:r>
        <w:rPr>
          <w:rFonts w:hAnsiTheme="minorEastAsia" w:eastAsiaTheme="minorEastAsia"/>
          <w:color w:val="000000"/>
          <w:kern w:val="0"/>
          <w:szCs w:val="21"/>
        </w:rPr>
        <w:t>日期间，对尚未使用和已经使用的资金往来收据，要分别登记造册，认真填写《中央行政事业单位财政票据核销申请表》（附件），到财政部财政票据监管中心（以下简称财政部票据中心）办理相关核销手续。</w:t>
      </w:r>
    </w:p>
    <w:p>
      <w:pPr>
        <w:spacing w:line="360" w:lineRule="exact"/>
        <w:rPr>
          <w:rFonts w:eastAsiaTheme="minorEastAsia"/>
          <w:color w:val="000000"/>
          <w:kern w:val="0"/>
          <w:szCs w:val="21"/>
        </w:rPr>
      </w:pPr>
      <w:r>
        <w:rPr>
          <w:rFonts w:hAnsiTheme="minorEastAsia" w:eastAsiaTheme="minorEastAsia"/>
          <w:b/>
          <w:bCs/>
          <w:color w:val="000000"/>
          <w:kern w:val="0"/>
          <w:szCs w:val="21"/>
        </w:rPr>
        <w:t>　　二、严格执行资金往来结算票据的领购程序</w:t>
      </w:r>
    </w:p>
    <w:p>
      <w:pPr>
        <w:spacing w:line="360" w:lineRule="exact"/>
        <w:rPr>
          <w:rFonts w:eastAsiaTheme="minorEastAsia"/>
          <w:color w:val="000000"/>
          <w:kern w:val="0"/>
          <w:szCs w:val="21"/>
        </w:rPr>
      </w:pPr>
      <w:r>
        <w:rPr>
          <w:rFonts w:hAnsiTheme="minorEastAsia" w:eastAsiaTheme="minorEastAsia"/>
          <w:color w:val="000000"/>
          <w:kern w:val="0"/>
          <w:szCs w:val="21"/>
        </w:rPr>
        <w:t>　　中央行政事业单位可以从</w:t>
      </w:r>
      <w:r>
        <w:rPr>
          <w:rFonts w:eastAsiaTheme="minorEastAsia"/>
          <w:color w:val="000000"/>
          <w:kern w:val="0"/>
          <w:szCs w:val="21"/>
        </w:rPr>
        <w:t>2010</w:t>
      </w:r>
      <w:r>
        <w:rPr>
          <w:rFonts w:hAnsiTheme="minorEastAsia" w:eastAsiaTheme="minorEastAsia"/>
          <w:color w:val="000000"/>
          <w:kern w:val="0"/>
          <w:szCs w:val="21"/>
        </w:rPr>
        <w:t>年</w:t>
      </w:r>
      <w:r>
        <w:rPr>
          <w:rFonts w:eastAsiaTheme="minorEastAsia"/>
          <w:color w:val="000000"/>
          <w:kern w:val="0"/>
          <w:szCs w:val="21"/>
        </w:rPr>
        <w:t>4</w:t>
      </w:r>
      <w:r>
        <w:rPr>
          <w:rFonts w:hAnsiTheme="minorEastAsia" w:eastAsiaTheme="minorEastAsia"/>
          <w:color w:val="000000"/>
          <w:kern w:val="0"/>
          <w:szCs w:val="21"/>
        </w:rPr>
        <w:t>月</w:t>
      </w:r>
      <w:r>
        <w:rPr>
          <w:rFonts w:eastAsiaTheme="minorEastAsia"/>
          <w:color w:val="000000"/>
          <w:kern w:val="0"/>
          <w:szCs w:val="21"/>
        </w:rPr>
        <w:t>1</w:t>
      </w:r>
      <w:r>
        <w:rPr>
          <w:rFonts w:hAnsiTheme="minorEastAsia" w:eastAsiaTheme="minorEastAsia"/>
          <w:color w:val="000000"/>
          <w:kern w:val="0"/>
          <w:szCs w:val="21"/>
        </w:rPr>
        <w:t>日起，到财政部票据中心领购资金往来结算票据，以确保</w:t>
      </w:r>
      <w:r>
        <w:rPr>
          <w:rFonts w:eastAsiaTheme="minorEastAsia"/>
          <w:color w:val="000000"/>
          <w:kern w:val="0"/>
          <w:szCs w:val="21"/>
        </w:rPr>
        <w:t>2010</w:t>
      </w:r>
      <w:r>
        <w:rPr>
          <w:rFonts w:hAnsiTheme="minorEastAsia" w:eastAsiaTheme="minorEastAsia"/>
          <w:color w:val="000000"/>
          <w:kern w:val="0"/>
          <w:szCs w:val="21"/>
        </w:rPr>
        <w:t>年</w:t>
      </w:r>
      <w:r>
        <w:rPr>
          <w:rFonts w:eastAsiaTheme="minorEastAsia"/>
          <w:color w:val="000000"/>
          <w:kern w:val="0"/>
          <w:szCs w:val="21"/>
        </w:rPr>
        <w:t>7</w:t>
      </w:r>
      <w:r>
        <w:rPr>
          <w:rFonts w:hAnsiTheme="minorEastAsia" w:eastAsiaTheme="minorEastAsia"/>
          <w:color w:val="000000"/>
          <w:kern w:val="0"/>
          <w:szCs w:val="21"/>
        </w:rPr>
        <w:t>月</w:t>
      </w:r>
      <w:r>
        <w:rPr>
          <w:rFonts w:eastAsiaTheme="minorEastAsia"/>
          <w:color w:val="000000"/>
          <w:kern w:val="0"/>
          <w:szCs w:val="21"/>
        </w:rPr>
        <w:t>1</w:t>
      </w:r>
      <w:r>
        <w:rPr>
          <w:rFonts w:hAnsiTheme="minorEastAsia" w:eastAsiaTheme="minorEastAsia"/>
          <w:color w:val="000000"/>
          <w:kern w:val="0"/>
          <w:szCs w:val="21"/>
        </w:rPr>
        <w:t>日正式启用资金往来结算票据。中央行政事业单位要严格按照财综</w:t>
      </w:r>
      <w:r>
        <w:rPr>
          <w:rFonts w:eastAsiaTheme="minorEastAsia"/>
          <w:color w:val="000000"/>
          <w:kern w:val="0"/>
          <w:szCs w:val="21"/>
        </w:rPr>
        <w:t>[2010]1</w:t>
      </w:r>
      <w:r>
        <w:rPr>
          <w:rFonts w:hAnsiTheme="minorEastAsia" w:eastAsiaTheme="minorEastAsia"/>
          <w:color w:val="000000"/>
          <w:kern w:val="0"/>
          <w:szCs w:val="21"/>
        </w:rPr>
        <w:t>号文件规定程序，办理资金往来结算票据领购手续。</w:t>
      </w:r>
    </w:p>
    <w:p>
      <w:pPr>
        <w:spacing w:line="360" w:lineRule="exact"/>
        <w:rPr>
          <w:rFonts w:eastAsiaTheme="minorEastAsia"/>
          <w:color w:val="000000"/>
          <w:kern w:val="0"/>
          <w:szCs w:val="21"/>
        </w:rPr>
      </w:pPr>
      <w:r>
        <w:rPr>
          <w:rFonts w:hAnsiTheme="minorEastAsia" w:eastAsiaTheme="minorEastAsia"/>
          <w:color w:val="000000"/>
          <w:kern w:val="0"/>
          <w:szCs w:val="21"/>
        </w:rPr>
        <w:t>　　中央行政事业单位首次领购资金往来结算票据，需持《财政票据领购证》，并提交有关领购使用资金往来结算票据的申请函，在申请函中详细列举本单位使用资金往来结算票据的具体项目和范围，由财政部票据中心按照财综</w:t>
      </w:r>
      <w:r>
        <w:rPr>
          <w:rFonts w:eastAsiaTheme="minorEastAsia"/>
          <w:color w:val="000000"/>
          <w:kern w:val="0"/>
          <w:szCs w:val="21"/>
        </w:rPr>
        <w:t>[2010]1</w:t>
      </w:r>
      <w:r>
        <w:rPr>
          <w:rFonts w:hAnsiTheme="minorEastAsia" w:eastAsiaTheme="minorEastAsia"/>
          <w:color w:val="000000"/>
          <w:kern w:val="0"/>
          <w:szCs w:val="21"/>
        </w:rPr>
        <w:t>号文件规定进行审核，对符合资金往来结算票据适用范围的予以核准，方可领购资金往来结算票据；对不符合资金往来结算票据适用范围的不予核准，不得领购资金往来结算票据。中央行政事业单位未办理《财政票据领购证》的，应当按照规定的程序，先申请办理《财政票据领购证》。</w:t>
      </w:r>
    </w:p>
    <w:p>
      <w:pPr>
        <w:spacing w:line="360" w:lineRule="exact"/>
        <w:rPr>
          <w:rFonts w:eastAsiaTheme="minorEastAsia"/>
          <w:color w:val="000000"/>
          <w:kern w:val="0"/>
          <w:szCs w:val="21"/>
        </w:rPr>
      </w:pPr>
      <w:r>
        <w:rPr>
          <w:rFonts w:hAnsiTheme="minorEastAsia" w:eastAsiaTheme="minorEastAsia"/>
          <w:color w:val="000000"/>
          <w:kern w:val="0"/>
          <w:szCs w:val="21"/>
        </w:rPr>
        <w:t>　　中央行政事业单位再次领购资金往来结算票据，需持《财政票据领购证》，并提交前次领购使用的资金往来结算票据存根及基本情况，包括票据的册数、号段、使用项目及金额等，到财政部票据中心办理核销及领购手续。</w:t>
      </w:r>
    </w:p>
    <w:p>
      <w:pPr>
        <w:spacing w:line="360" w:lineRule="exact"/>
        <w:rPr>
          <w:rFonts w:eastAsiaTheme="minorEastAsia"/>
          <w:color w:val="000000"/>
          <w:kern w:val="0"/>
          <w:szCs w:val="21"/>
        </w:rPr>
      </w:pPr>
      <w:r>
        <w:rPr>
          <w:rFonts w:hAnsiTheme="minorEastAsia" w:eastAsiaTheme="minorEastAsia"/>
          <w:color w:val="000000"/>
          <w:kern w:val="0"/>
          <w:szCs w:val="21"/>
        </w:rPr>
        <w:t>　　中央行政事业单位领购资金往来结算票据实行定期限量制度，每次领购票据一般不得超过本单位</w:t>
      </w:r>
      <w:r>
        <w:rPr>
          <w:rFonts w:eastAsiaTheme="minorEastAsia"/>
          <w:color w:val="000000"/>
          <w:kern w:val="0"/>
          <w:szCs w:val="21"/>
        </w:rPr>
        <w:t>6</w:t>
      </w:r>
      <w:r>
        <w:rPr>
          <w:rFonts w:hAnsiTheme="minorEastAsia" w:eastAsiaTheme="minorEastAsia"/>
          <w:color w:val="000000"/>
          <w:kern w:val="0"/>
          <w:szCs w:val="21"/>
        </w:rPr>
        <w:t>个月的使用数量。中央行政事业单位在具体办理资金往来结算票据领购手续时，应当按照国家发展改革委核定的收费标准，支付资金往来结算票据工本费。</w:t>
      </w:r>
    </w:p>
    <w:p>
      <w:pPr>
        <w:spacing w:line="360" w:lineRule="exact"/>
        <w:rPr>
          <w:rFonts w:eastAsiaTheme="minorEastAsia"/>
          <w:color w:val="000000"/>
          <w:kern w:val="0"/>
          <w:szCs w:val="21"/>
        </w:rPr>
      </w:pPr>
      <w:r>
        <w:rPr>
          <w:rFonts w:hAnsiTheme="minorEastAsia" w:eastAsiaTheme="minorEastAsia"/>
          <w:color w:val="000000"/>
          <w:kern w:val="0"/>
          <w:szCs w:val="21"/>
        </w:rPr>
        <w:t>　　中央垂直管理部门所属京外行政事业单位可由其主管部门统一到财政部票据中心办理领购手续。个别地处偏远、用票量很少的中央行政事业单位，前往财政部票据中心领购资金往来结算票据确有困难的，经财政部票据中心同意后，由所在地财政部门负责为其发放资金往来结算票据，并纳入所在地资金往来结算票据管理和监督检查范围。</w:t>
      </w:r>
    </w:p>
    <w:p>
      <w:pPr>
        <w:spacing w:line="360" w:lineRule="exact"/>
        <w:rPr>
          <w:rFonts w:eastAsiaTheme="minorEastAsia"/>
          <w:color w:val="000000"/>
          <w:kern w:val="0"/>
          <w:szCs w:val="21"/>
        </w:rPr>
      </w:pPr>
      <w:r>
        <w:rPr>
          <w:rFonts w:hAnsiTheme="minorEastAsia" w:eastAsiaTheme="minorEastAsia"/>
          <w:b/>
          <w:bCs/>
          <w:color w:val="000000"/>
          <w:kern w:val="0"/>
          <w:szCs w:val="21"/>
        </w:rPr>
        <w:t>　　三、规范资金往来结算票据的使用和管理</w:t>
      </w:r>
    </w:p>
    <w:p>
      <w:pPr>
        <w:spacing w:line="360" w:lineRule="exact"/>
        <w:rPr>
          <w:rFonts w:eastAsiaTheme="minorEastAsia"/>
          <w:color w:val="000000"/>
          <w:kern w:val="0"/>
          <w:szCs w:val="21"/>
        </w:rPr>
      </w:pPr>
      <w:r>
        <w:rPr>
          <w:rFonts w:hAnsiTheme="minorEastAsia" w:eastAsiaTheme="minorEastAsia"/>
          <w:color w:val="000000"/>
          <w:kern w:val="0"/>
          <w:szCs w:val="21"/>
        </w:rPr>
        <w:t>　　中央行政事业单位应当按照财综</w:t>
      </w:r>
      <w:r>
        <w:rPr>
          <w:rFonts w:eastAsiaTheme="minorEastAsia"/>
          <w:color w:val="000000"/>
          <w:kern w:val="0"/>
          <w:szCs w:val="21"/>
        </w:rPr>
        <w:t>[2010]1</w:t>
      </w:r>
      <w:r>
        <w:rPr>
          <w:rFonts w:hAnsiTheme="minorEastAsia" w:eastAsiaTheme="minorEastAsia"/>
          <w:color w:val="000000"/>
          <w:kern w:val="0"/>
          <w:szCs w:val="21"/>
        </w:rPr>
        <w:t>号文件规定的范围使用资金往来结算票据，将资金往来结算票据使用范围严格限定在行政事业单位暂收款项、代收款项，行政事业单位内部各部门之间、单位与个人之间发生的其他资金往来且不构成本单位收入的款项，以及财政部门认定的不作为行政事业单位收入的其他资金往来行为。</w:t>
      </w:r>
    </w:p>
    <w:p>
      <w:pPr>
        <w:spacing w:line="360" w:lineRule="exact"/>
        <w:rPr>
          <w:rFonts w:eastAsiaTheme="minorEastAsia"/>
          <w:color w:val="000000"/>
          <w:kern w:val="0"/>
          <w:szCs w:val="21"/>
        </w:rPr>
      </w:pPr>
      <w:r>
        <w:rPr>
          <w:rFonts w:hAnsiTheme="minorEastAsia" w:eastAsiaTheme="minorEastAsia"/>
          <w:color w:val="000000"/>
          <w:kern w:val="0"/>
          <w:szCs w:val="21"/>
        </w:rPr>
        <w:t>　　中央行政事业单位收取的经营服务性收费、政府非税收入（含行政事业性收费、政府性基金、国有资源有偿使用收入、国有资产有偿使用收入、国有资本经营收益、罚没收入、以政府名义接受的捐赠收入、主管部门集中收入等），社会团体收取会费收入，公立医疗机构从事医疗服务取得收入，中央行政事业单位取得的拨入经费、财政补助收入、上级补助收入等形成本单位收入，均不得使用资金往来结算票据。</w:t>
      </w:r>
    </w:p>
    <w:p>
      <w:pPr>
        <w:spacing w:line="360" w:lineRule="exact"/>
        <w:rPr>
          <w:rFonts w:eastAsiaTheme="minorEastAsia"/>
          <w:color w:val="000000"/>
          <w:kern w:val="0"/>
          <w:szCs w:val="21"/>
        </w:rPr>
      </w:pPr>
      <w:r>
        <w:rPr>
          <w:rFonts w:hAnsiTheme="minorEastAsia" w:eastAsiaTheme="minorEastAsia"/>
          <w:color w:val="000000"/>
          <w:kern w:val="0"/>
          <w:szCs w:val="21"/>
        </w:rPr>
        <w:t>　　中央行政事业单位要按照财政部票据中心核准的项目和范围，填开资金往来结算票据，列明资金往来结算业务事项，不得编造、虚列资金往来结算项目，不得擅自扩大资金往来结算票据使用范围，不得将资金往来结算票据用于收取经营服务性收费、政府非税收入、社会团体会费、拨入经费等款项。中央行政事业单位不得将资金往来结算票据与其他财政票据、税务发票互相串用。中央行政事业单位不按规定使用资金往来结算票据的，付款单位和个人有权拒付款项，财政部门不得入账。</w:t>
      </w:r>
    </w:p>
    <w:p>
      <w:pPr>
        <w:spacing w:line="360" w:lineRule="exact"/>
        <w:rPr>
          <w:rFonts w:eastAsiaTheme="minorEastAsia"/>
          <w:color w:val="000000"/>
          <w:kern w:val="0"/>
          <w:szCs w:val="21"/>
        </w:rPr>
      </w:pPr>
      <w:r>
        <w:rPr>
          <w:rFonts w:hAnsiTheme="minorEastAsia" w:eastAsiaTheme="minorEastAsia"/>
          <w:color w:val="000000"/>
          <w:kern w:val="0"/>
          <w:szCs w:val="21"/>
        </w:rPr>
        <w:t>　　中央行政事业单位要按照票据号码依次填开资金往来结算票据，完整填写付款单位、开票日期、收款项目、数量、金额、收款单位等信息，加盖收款单位财务章及收款人名章（或签字），保持票面整洁。如填写错误，应另行填开，不得涂改、挖补、撕毁票据。票据作废应加盖作废戳记，并完整保存各联次备查，不得自行销毁。如发现票据丢失，应立即在县级以上媒体申明作废，并查明原因，提出书面处理意见，及时报送财政部票据中心备案。</w:t>
      </w:r>
    </w:p>
    <w:p>
      <w:pPr>
        <w:spacing w:line="360" w:lineRule="exact"/>
        <w:rPr>
          <w:rFonts w:eastAsiaTheme="minorEastAsia"/>
          <w:color w:val="000000"/>
          <w:kern w:val="0"/>
          <w:szCs w:val="21"/>
        </w:rPr>
      </w:pPr>
      <w:r>
        <w:rPr>
          <w:rFonts w:hAnsiTheme="minorEastAsia" w:eastAsiaTheme="minorEastAsia"/>
          <w:b/>
          <w:bCs/>
          <w:color w:val="000000"/>
          <w:kern w:val="0"/>
          <w:szCs w:val="21"/>
        </w:rPr>
        <w:t>　　四、保障资金往来结算票据管理安全</w:t>
      </w:r>
    </w:p>
    <w:p>
      <w:pPr>
        <w:spacing w:line="360" w:lineRule="exact"/>
        <w:rPr>
          <w:rFonts w:eastAsiaTheme="minorEastAsia"/>
          <w:color w:val="000000"/>
          <w:kern w:val="0"/>
          <w:szCs w:val="21"/>
        </w:rPr>
      </w:pPr>
      <w:r>
        <w:rPr>
          <w:rFonts w:hAnsiTheme="minorEastAsia" w:eastAsiaTheme="minorEastAsia"/>
          <w:color w:val="000000"/>
          <w:kern w:val="0"/>
          <w:szCs w:val="21"/>
        </w:rPr>
        <w:t>　　中央行政事业单位应当建立健全资金往来结算票据管理制度，设置资金往来结算票据使用管理台账，由专人负责管理资金往来结算票据，做好资金往来结算票据的领购、使用、登记与保管工作，并按规定向财政部票据中心报送资金往来结算票据的领购、使用、结存情况。</w:t>
      </w:r>
    </w:p>
    <w:p>
      <w:pPr>
        <w:spacing w:line="360" w:lineRule="exact"/>
        <w:rPr>
          <w:rFonts w:eastAsiaTheme="minorEastAsia"/>
          <w:color w:val="000000"/>
          <w:kern w:val="0"/>
          <w:szCs w:val="21"/>
        </w:rPr>
      </w:pPr>
      <w:r>
        <w:rPr>
          <w:rFonts w:hAnsiTheme="minorEastAsia" w:eastAsiaTheme="minorEastAsia"/>
          <w:color w:val="000000"/>
          <w:kern w:val="0"/>
          <w:szCs w:val="21"/>
        </w:rPr>
        <w:t>　　中央行政事业单位应当妥善保管资金往来结算票据，做好票据存放库房（专柜）的防盗、防火、防潮、防蛀、防爆、防腐等工作，确保资金往来结算票据存放安全。已开具的资金往来结算票据存根，应当保存</w:t>
      </w:r>
      <w:r>
        <w:rPr>
          <w:rFonts w:eastAsiaTheme="minorEastAsia"/>
          <w:color w:val="000000"/>
          <w:kern w:val="0"/>
          <w:szCs w:val="21"/>
        </w:rPr>
        <w:t>5</w:t>
      </w:r>
      <w:r>
        <w:rPr>
          <w:rFonts w:hAnsiTheme="minorEastAsia" w:eastAsiaTheme="minorEastAsia"/>
          <w:color w:val="000000"/>
          <w:kern w:val="0"/>
          <w:szCs w:val="21"/>
        </w:rPr>
        <w:t>年。</w:t>
      </w:r>
    </w:p>
    <w:p>
      <w:pPr>
        <w:spacing w:line="360" w:lineRule="exact"/>
        <w:rPr>
          <w:rFonts w:eastAsiaTheme="minorEastAsia"/>
          <w:color w:val="000000"/>
          <w:kern w:val="0"/>
          <w:szCs w:val="21"/>
        </w:rPr>
      </w:pPr>
      <w:r>
        <w:rPr>
          <w:rFonts w:hAnsiTheme="minorEastAsia" w:eastAsiaTheme="minorEastAsia"/>
          <w:color w:val="000000"/>
          <w:kern w:val="0"/>
          <w:szCs w:val="21"/>
        </w:rPr>
        <w:t>　　保存期满需要核销的资金往来结算票据，要登记造册，填写《中央行政事业单位财政票据核销申请表》，经财政部票据中心审查核准后，予以销毁。实行中央垂直管理的行政事业单位，可由其主管部门财务部门统一向财政部票据中心提出票据核销申请，由财政部票据中心统一组织实施资金往来结算票据的核销工作。</w:t>
      </w:r>
    </w:p>
    <w:p>
      <w:pPr>
        <w:spacing w:line="360" w:lineRule="exact"/>
        <w:rPr>
          <w:rFonts w:hAnsiTheme="minorEastAsia" w:eastAsiaTheme="minorEastAsia"/>
          <w:b/>
          <w:bCs/>
          <w:color w:val="000000"/>
          <w:kern w:val="0"/>
          <w:szCs w:val="21"/>
        </w:rPr>
      </w:pPr>
      <w:r>
        <w:rPr>
          <w:rFonts w:hAnsiTheme="minorEastAsia" w:eastAsiaTheme="minorEastAsia"/>
          <w:b/>
          <w:bCs/>
          <w:color w:val="000000"/>
          <w:kern w:val="0"/>
          <w:szCs w:val="21"/>
        </w:rPr>
        <w:t>　　</w:t>
      </w:r>
    </w:p>
    <w:p>
      <w:pPr>
        <w:spacing w:line="360" w:lineRule="exact"/>
        <w:ind w:firstLine="413" w:firstLineChars="196"/>
        <w:rPr>
          <w:rFonts w:eastAsiaTheme="minorEastAsia"/>
          <w:color w:val="000000"/>
          <w:kern w:val="0"/>
          <w:szCs w:val="21"/>
        </w:rPr>
      </w:pPr>
      <w:r>
        <w:rPr>
          <w:rFonts w:hAnsiTheme="minorEastAsia" w:eastAsiaTheme="minorEastAsia"/>
          <w:b/>
          <w:bCs/>
          <w:color w:val="000000"/>
          <w:kern w:val="0"/>
          <w:szCs w:val="21"/>
        </w:rPr>
        <w:t>五、加强资金往来结算票据使用管理的监督检查</w:t>
      </w:r>
    </w:p>
    <w:p>
      <w:pPr>
        <w:spacing w:line="360" w:lineRule="exact"/>
        <w:rPr>
          <w:rFonts w:eastAsiaTheme="minorEastAsia"/>
          <w:color w:val="000000"/>
          <w:kern w:val="0"/>
          <w:szCs w:val="21"/>
        </w:rPr>
      </w:pPr>
      <w:r>
        <w:rPr>
          <w:rFonts w:hAnsiTheme="minorEastAsia" w:eastAsiaTheme="minorEastAsia"/>
          <w:color w:val="000000"/>
          <w:kern w:val="0"/>
          <w:szCs w:val="21"/>
        </w:rPr>
        <w:t>　　中央行政事业单位要加强本单位内部资金往来结算票据使用和管理情况的监督检查，督促本单位严格按照财综</w:t>
      </w:r>
      <w:r>
        <w:rPr>
          <w:rFonts w:eastAsiaTheme="minorEastAsia"/>
          <w:color w:val="000000"/>
          <w:kern w:val="0"/>
          <w:szCs w:val="21"/>
        </w:rPr>
        <w:t>[2010]1</w:t>
      </w:r>
      <w:r>
        <w:rPr>
          <w:rFonts w:hAnsiTheme="minorEastAsia" w:eastAsiaTheme="minorEastAsia"/>
          <w:color w:val="000000"/>
          <w:kern w:val="0"/>
          <w:szCs w:val="21"/>
        </w:rPr>
        <w:t>号文件以及本通知规定领购、使用和管理资金往来结算票据，及时发现和纠正违反规定领购、使用和管理资金往来结算票据行为。</w:t>
      </w:r>
    </w:p>
    <w:p>
      <w:pPr>
        <w:spacing w:line="360" w:lineRule="exact"/>
        <w:rPr>
          <w:rFonts w:eastAsiaTheme="minorEastAsia"/>
          <w:color w:val="000000"/>
          <w:kern w:val="0"/>
          <w:szCs w:val="21"/>
        </w:rPr>
      </w:pPr>
      <w:r>
        <w:rPr>
          <w:rFonts w:hAnsiTheme="minorEastAsia" w:eastAsiaTheme="minorEastAsia"/>
          <w:color w:val="000000"/>
          <w:kern w:val="0"/>
          <w:szCs w:val="21"/>
        </w:rPr>
        <w:t>　　中央行政事业单位要严格执行财综</w:t>
      </w:r>
      <w:r>
        <w:rPr>
          <w:rFonts w:eastAsiaTheme="minorEastAsia"/>
          <w:color w:val="000000"/>
          <w:kern w:val="0"/>
          <w:szCs w:val="21"/>
        </w:rPr>
        <w:t>[2010]1</w:t>
      </w:r>
      <w:r>
        <w:rPr>
          <w:rFonts w:hAnsiTheme="minorEastAsia" w:eastAsiaTheme="minorEastAsia"/>
          <w:color w:val="000000"/>
          <w:kern w:val="0"/>
          <w:szCs w:val="21"/>
        </w:rPr>
        <w:t>号文件规定，自觉接受财政、审计部门的监督检查，如实提供检查所需要的资金往来票据存根、使用管理台账、会计账簿等相关资料。</w:t>
      </w:r>
    </w:p>
    <w:p>
      <w:pPr>
        <w:spacing w:line="360" w:lineRule="exact"/>
        <w:ind w:firstLine="420"/>
        <w:rPr>
          <w:rFonts w:hAnsiTheme="minorEastAsia" w:eastAsiaTheme="minorEastAsia"/>
          <w:color w:val="000000"/>
          <w:kern w:val="0"/>
          <w:szCs w:val="21"/>
        </w:rPr>
      </w:pPr>
      <w:r>
        <w:rPr>
          <w:rFonts w:hAnsiTheme="minorEastAsia" w:eastAsiaTheme="minorEastAsia"/>
          <w:color w:val="000000"/>
          <w:kern w:val="0"/>
          <w:szCs w:val="21"/>
        </w:rPr>
        <w:t>对于违反财综</w:t>
      </w:r>
      <w:r>
        <w:rPr>
          <w:rFonts w:eastAsiaTheme="minorEastAsia"/>
          <w:color w:val="000000"/>
          <w:kern w:val="0"/>
          <w:szCs w:val="21"/>
        </w:rPr>
        <w:t>[2010]1</w:t>
      </w:r>
      <w:r>
        <w:rPr>
          <w:rFonts w:hAnsiTheme="minorEastAsia" w:eastAsiaTheme="minorEastAsia"/>
          <w:color w:val="000000"/>
          <w:kern w:val="0"/>
          <w:szCs w:val="21"/>
        </w:rPr>
        <w:t>号文件规定领购、使用、管理资金往来结算票据的，一经查出，要限期整改，整改期间暂停核发该单位的资金往来结算票据。同时，按照《</w:t>
      </w:r>
      <w:r>
        <w:fldChar w:fldCharType="begin"/>
      </w:r>
      <w:r>
        <w:instrText xml:space="preserve"> HYPERLINK "http://www.chinaacc.com/new/63/73/157/2005/2/ad74516111111250022232.htm" \t "_blank" </w:instrText>
      </w:r>
      <w:r>
        <w:fldChar w:fldCharType="separate"/>
      </w:r>
      <w:r>
        <w:rPr>
          <w:rFonts w:hAnsiTheme="minorEastAsia" w:eastAsiaTheme="minorEastAsia"/>
          <w:color w:val="000000"/>
          <w:kern w:val="0"/>
          <w:szCs w:val="21"/>
        </w:rPr>
        <w:t>财政违法行为处罚处分条例</w:t>
      </w:r>
      <w:r>
        <w:rPr>
          <w:rFonts w:hAnsiTheme="minorEastAsia" w:eastAsiaTheme="minorEastAsia"/>
          <w:color w:val="000000"/>
          <w:kern w:val="0"/>
          <w:szCs w:val="21"/>
        </w:rPr>
        <w:fldChar w:fldCharType="end"/>
      </w:r>
      <w:r>
        <w:rPr>
          <w:rFonts w:hAnsiTheme="minorEastAsia" w:eastAsiaTheme="minorEastAsia"/>
          <w:color w:val="000000"/>
          <w:kern w:val="0"/>
          <w:szCs w:val="21"/>
        </w:rPr>
        <w:t>》（国务院令第</w:t>
      </w:r>
      <w:r>
        <w:rPr>
          <w:rFonts w:eastAsiaTheme="minorEastAsia"/>
          <w:color w:val="000000"/>
          <w:kern w:val="0"/>
          <w:szCs w:val="21"/>
        </w:rPr>
        <w:t>427</w:t>
      </w:r>
      <w:r>
        <w:rPr>
          <w:rFonts w:hAnsiTheme="minorEastAsia" w:eastAsiaTheme="minorEastAsia"/>
          <w:color w:val="000000"/>
          <w:kern w:val="0"/>
          <w:szCs w:val="21"/>
        </w:rPr>
        <w:t>号）等规定进行处理、处罚，涉嫌犯罪的依法移交司法机构追究刑事责任。</w:t>
      </w:r>
    </w:p>
    <w:p>
      <w:pPr>
        <w:spacing w:line="360" w:lineRule="exact"/>
        <w:ind w:firstLine="420"/>
        <w:rPr>
          <w:rFonts w:eastAsiaTheme="minorEastAsia"/>
          <w:color w:val="000000"/>
          <w:kern w:val="0"/>
          <w:szCs w:val="21"/>
        </w:rPr>
      </w:pPr>
    </w:p>
    <w:p>
      <w:pPr>
        <w:spacing w:line="360" w:lineRule="exact"/>
        <w:ind w:firstLine="480"/>
        <w:rPr>
          <w:rFonts w:eastAsiaTheme="minorEastAsia"/>
          <w:color w:val="000000"/>
          <w:kern w:val="0"/>
          <w:szCs w:val="21"/>
        </w:rPr>
      </w:pPr>
      <w:r>
        <w:rPr>
          <w:rFonts w:hAnsiTheme="minorEastAsia" w:eastAsiaTheme="minorEastAsia"/>
          <w:color w:val="000000"/>
          <w:kern w:val="0"/>
          <w:szCs w:val="21"/>
        </w:rPr>
        <w:t>附件：</w:t>
      </w:r>
      <w:r>
        <w:fldChar w:fldCharType="begin"/>
      </w:r>
      <w:r>
        <w:instrText xml:space="preserve"> HYPERLINK "http://image.chinaacc.com/upload/html/2010/2/5/wangfa632920102516471517305.doc" \t "_blank" </w:instrText>
      </w:r>
      <w:r>
        <w:fldChar w:fldCharType="separate"/>
      </w:r>
      <w:r>
        <w:rPr>
          <w:rFonts w:hAnsiTheme="minorEastAsia" w:eastAsiaTheme="minorEastAsia"/>
          <w:color w:val="000000"/>
          <w:kern w:val="0"/>
          <w:szCs w:val="21"/>
        </w:rPr>
        <w:t>中央行政事业单位财政票据核销申请表</w:t>
      </w:r>
      <w:r>
        <w:rPr>
          <w:rFonts w:hAnsiTheme="minorEastAsia" w:eastAsiaTheme="minorEastAsia"/>
          <w:color w:val="000000"/>
          <w:kern w:val="0"/>
          <w:szCs w:val="21"/>
        </w:rPr>
        <w:fldChar w:fldCharType="end"/>
      </w:r>
      <w:r>
        <w:rPr>
          <w:rFonts w:hint="eastAsia" w:eastAsiaTheme="minorEastAsia"/>
          <w:color w:val="000000"/>
          <w:kern w:val="0"/>
          <w:szCs w:val="21"/>
        </w:rPr>
        <w:t>（</w:t>
      </w:r>
      <w:r>
        <w:rPr>
          <w:rFonts w:hAnsiTheme="minorEastAsia" w:eastAsiaTheme="minorEastAsia"/>
          <w:color w:val="000000"/>
          <w:kern w:val="0"/>
          <w:szCs w:val="21"/>
        </w:rPr>
        <w:t>略</w:t>
      </w:r>
      <w:r>
        <w:rPr>
          <w:rFonts w:hint="eastAsia" w:eastAsiaTheme="minorEastAsia"/>
          <w:color w:val="000000"/>
          <w:kern w:val="0"/>
          <w:szCs w:val="21"/>
        </w:rPr>
        <w:t>）</w:t>
      </w:r>
    </w:p>
    <w:p>
      <w:pPr>
        <w:spacing w:line="360" w:lineRule="exact"/>
        <w:ind w:firstLine="480"/>
        <w:rPr>
          <w:rFonts w:eastAsiaTheme="minorEastAsia"/>
          <w:color w:val="000000"/>
          <w:kern w:val="0"/>
          <w:szCs w:val="21"/>
        </w:rPr>
      </w:pPr>
    </w:p>
    <w:p>
      <w:pPr>
        <w:spacing w:line="360" w:lineRule="exact"/>
        <w:ind w:firstLine="480"/>
        <w:rPr>
          <w:rFonts w:eastAsiaTheme="minorEastAsia"/>
          <w:color w:val="000000"/>
          <w:kern w:val="0"/>
          <w:szCs w:val="21"/>
        </w:rPr>
      </w:pPr>
    </w:p>
    <w:p>
      <w:pPr>
        <w:spacing w:line="360" w:lineRule="exact"/>
        <w:jc w:val="right"/>
        <w:rPr>
          <w:rFonts w:eastAsiaTheme="minorEastAsia"/>
          <w:color w:val="000000"/>
          <w:kern w:val="0"/>
          <w:szCs w:val="21"/>
        </w:rPr>
        <w:sectPr>
          <w:pgSz w:w="11906" w:h="16838"/>
          <w:pgMar w:top="1440" w:right="1588" w:bottom="1440" w:left="1588" w:header="851" w:footer="992" w:gutter="0"/>
          <w:cols w:space="425" w:num="1"/>
          <w:docGrid w:type="lines" w:linePitch="312" w:charSpace="0"/>
        </w:sectPr>
      </w:pPr>
      <w:r>
        <w:rPr>
          <w:rFonts w:hAnsiTheme="minorEastAsia" w:eastAsiaTheme="minorEastAsia"/>
          <w:color w:val="000000"/>
          <w:kern w:val="0"/>
          <w:szCs w:val="21"/>
        </w:rPr>
        <w:t>　　二〇一〇年一月二十八日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 w:name="Microsoft JhengHei Light">
    <w:panose1 w:val="020B0304030504040204"/>
    <w:charset w:val="88"/>
    <w:family w:val="auto"/>
    <w:pitch w:val="default"/>
    <w:sig w:usb0="8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FDC"/>
    <w:rsid w:val="00050546"/>
    <w:rsid w:val="00166C9A"/>
    <w:rsid w:val="00FB6FDC"/>
    <w:rsid w:val="6D9F1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5"/>
    <w:qFormat/>
    <w:uiPriority w:val="0"/>
    <w:pPr>
      <w:spacing w:beforeLines="100" w:afterLines="50" w:line="360" w:lineRule="auto"/>
      <w:jc w:val="center"/>
      <w:outlineLvl w:val="1"/>
    </w:pPr>
    <w:rPr>
      <w:rFonts w:hAnsi="宋体" w:eastAsia="方正小标宋简体"/>
      <w:sz w:val="32"/>
      <w:szCs w:val="21"/>
    </w:rPr>
  </w:style>
  <w:style w:type="character" w:default="1" w:styleId="4">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character" w:customStyle="1" w:styleId="5">
    <w:name w:val="标题 2 Char"/>
    <w:basedOn w:val="4"/>
    <w:link w:val="2"/>
    <w:uiPriority w:val="0"/>
    <w:rPr>
      <w:rFonts w:ascii="Times New Roman" w:hAnsi="宋体" w:eastAsia="方正小标宋简体" w:cs="Times New Roman"/>
      <w:sz w:val="32"/>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477</Words>
  <Characters>2719</Characters>
  <Lines>22</Lines>
  <Paragraphs>6</Paragraphs>
  <TotalTime>1</TotalTime>
  <ScaleCrop>false</ScaleCrop>
  <LinksUpToDate>false</LinksUpToDate>
  <CharactersWithSpaces>3190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2016-11-06T10:14:00Z</dcterms:created>
  <dc:creator>user</dc:creator>
  <cp:lastModifiedBy>cwc</cp:lastModifiedBy>
  <dcterms:modified xsi:type="dcterms:W3CDTF">2026-04-15T01:30:12Z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