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33" w:rsidRPr="00A41E18" w:rsidRDefault="00904B33" w:rsidP="00904B33">
      <w:pPr>
        <w:pStyle w:val="2"/>
        <w:spacing w:before="312" w:after="156"/>
        <w:rPr>
          <w:szCs w:val="24"/>
        </w:rPr>
      </w:pPr>
      <w:bookmarkStart w:id="0" w:name="_Toc445143216"/>
      <w:bookmarkStart w:id="1" w:name="_Toc445994296"/>
      <w:bookmarkStart w:id="2" w:name="_Toc460337842"/>
      <w:bookmarkStart w:id="3" w:name="_GoBack"/>
      <w:bookmarkEnd w:id="3"/>
      <w:r w:rsidRPr="00A41E18">
        <w:rPr>
          <w:rFonts w:hint="eastAsia"/>
        </w:rPr>
        <w:t xml:space="preserve"> </w:t>
      </w:r>
      <w:r w:rsidRPr="00A41E18">
        <w:rPr>
          <w:rFonts w:hint="eastAsia"/>
        </w:rPr>
        <w:t>关于印发《中央单位教育收费收缴管理暂行办法》的通知</w:t>
      </w:r>
      <w:bookmarkEnd w:id="0"/>
      <w:bookmarkEnd w:id="1"/>
      <w:bookmarkEnd w:id="2"/>
    </w:p>
    <w:p w:rsidR="00904B33" w:rsidRDefault="00904B33" w:rsidP="00904B33">
      <w:pPr>
        <w:widowControl/>
        <w:spacing w:line="360" w:lineRule="exact"/>
        <w:jc w:val="center"/>
        <w:rPr>
          <w:rFonts w:eastAsiaTheme="minorEastAsia" w:hAnsiTheme="minorEastAsia"/>
          <w:color w:val="000000"/>
          <w:kern w:val="0"/>
          <w:szCs w:val="21"/>
        </w:rPr>
      </w:pPr>
    </w:p>
    <w:p w:rsidR="00904B33" w:rsidRDefault="00904B33" w:rsidP="00904B33">
      <w:pPr>
        <w:widowControl/>
        <w:spacing w:line="360" w:lineRule="exact"/>
        <w:jc w:val="center"/>
        <w:rPr>
          <w:rFonts w:eastAsiaTheme="minorEastAsia" w:hAnsiTheme="minorEastAsia"/>
          <w:color w:val="000000"/>
          <w:kern w:val="0"/>
          <w:szCs w:val="21"/>
        </w:rPr>
      </w:pPr>
      <w:r w:rsidRPr="00A41E18">
        <w:rPr>
          <w:rFonts w:eastAsiaTheme="minorEastAsia" w:hAnsiTheme="minorEastAsia"/>
          <w:color w:val="000000"/>
          <w:kern w:val="0"/>
          <w:szCs w:val="21"/>
        </w:rPr>
        <w:t>财库</w:t>
      </w:r>
      <w:r w:rsidRPr="00A41E18">
        <w:rPr>
          <w:rFonts w:eastAsiaTheme="minorEastAsia"/>
          <w:color w:val="000000"/>
          <w:kern w:val="0"/>
          <w:szCs w:val="21"/>
        </w:rPr>
        <w:t>[2010]104</w:t>
      </w:r>
      <w:r w:rsidRPr="00A41E18">
        <w:rPr>
          <w:rFonts w:eastAsiaTheme="minorEastAsia" w:hAnsiTheme="minorEastAsia"/>
          <w:color w:val="000000"/>
          <w:kern w:val="0"/>
          <w:szCs w:val="21"/>
        </w:rPr>
        <w:t>号</w:t>
      </w:r>
    </w:p>
    <w:p w:rsidR="00904B33" w:rsidRPr="00A41E18" w:rsidRDefault="00904B33" w:rsidP="00904B33">
      <w:pPr>
        <w:widowControl/>
        <w:spacing w:line="360" w:lineRule="exact"/>
        <w:jc w:val="center"/>
        <w:rPr>
          <w:rFonts w:eastAsiaTheme="minorEastAsia"/>
          <w:color w:val="000000"/>
          <w:kern w:val="0"/>
          <w:szCs w:val="21"/>
        </w:rPr>
      </w:pPr>
    </w:p>
    <w:p w:rsidR="00904B33" w:rsidRPr="00A41E18" w:rsidRDefault="00904B33" w:rsidP="00904B33">
      <w:pPr>
        <w:widowControl/>
        <w:spacing w:line="360" w:lineRule="exact"/>
        <w:rPr>
          <w:rFonts w:eastAsiaTheme="minorEastAsia"/>
          <w:color w:val="000000"/>
          <w:kern w:val="0"/>
          <w:szCs w:val="21"/>
        </w:rPr>
      </w:pPr>
      <w:r w:rsidRPr="00A41E18">
        <w:rPr>
          <w:rFonts w:eastAsiaTheme="minorEastAsia" w:hAnsiTheme="minorEastAsia"/>
          <w:color w:val="000000"/>
          <w:kern w:val="0"/>
          <w:szCs w:val="21"/>
        </w:rPr>
        <w:t>党中央有关部门，国务院有关部委、有关直属机构，高法院，高检院，新疆生产建设兵团，各中央财政非税收入收缴代理银行：</w:t>
      </w:r>
    </w:p>
    <w:p w:rsidR="00904B33" w:rsidRDefault="00904B33" w:rsidP="00904B33">
      <w:pPr>
        <w:widowControl/>
        <w:spacing w:line="360" w:lineRule="exact"/>
        <w:ind w:firstLine="420"/>
        <w:rPr>
          <w:rFonts w:eastAsiaTheme="minorEastAsia" w:hAnsiTheme="minorEastAsia"/>
          <w:color w:val="000000"/>
          <w:kern w:val="0"/>
          <w:szCs w:val="21"/>
        </w:rPr>
      </w:pPr>
      <w:r w:rsidRPr="00A41E18">
        <w:rPr>
          <w:rFonts w:eastAsiaTheme="minorEastAsia" w:hAnsiTheme="minorEastAsia"/>
          <w:color w:val="000000"/>
          <w:kern w:val="0"/>
          <w:szCs w:val="21"/>
        </w:rPr>
        <w:t>为加强中央部门教育收费收缴管理，建立规范的教育收费收缴管理制度，财政部制定了《中央部门教育收费收缴管理暂行办法》，现印发给你们，请遵照执行。</w:t>
      </w:r>
    </w:p>
    <w:p w:rsidR="00904B33" w:rsidRPr="00A41E18" w:rsidRDefault="00904B33" w:rsidP="00904B33">
      <w:pPr>
        <w:widowControl/>
        <w:spacing w:line="360" w:lineRule="exact"/>
        <w:ind w:firstLine="420"/>
        <w:rPr>
          <w:rFonts w:eastAsiaTheme="minorEastAsia"/>
          <w:color w:val="000000"/>
          <w:kern w:val="0"/>
          <w:szCs w:val="21"/>
        </w:rPr>
      </w:pPr>
    </w:p>
    <w:p w:rsidR="00904B33" w:rsidRPr="00A41E18" w:rsidRDefault="00904B33" w:rsidP="00904B33">
      <w:pPr>
        <w:widowControl/>
        <w:spacing w:line="360" w:lineRule="exact"/>
        <w:rPr>
          <w:rFonts w:eastAsiaTheme="minorEastAsia"/>
          <w:color w:val="000000"/>
          <w:kern w:val="0"/>
          <w:szCs w:val="21"/>
        </w:rPr>
      </w:pPr>
      <w:r w:rsidRPr="00A41E18">
        <w:rPr>
          <w:rFonts w:eastAsiaTheme="minorEastAsia" w:hAnsiTheme="minorEastAsia"/>
          <w:color w:val="000000"/>
          <w:kern w:val="0"/>
          <w:szCs w:val="21"/>
        </w:rPr>
        <w:t xml:space="preserve">　　</w:t>
      </w:r>
      <w:r>
        <w:rPr>
          <w:rFonts w:eastAsiaTheme="minorEastAsia" w:hAnsiTheme="minorEastAsia" w:hint="eastAsia"/>
          <w:color w:val="000000"/>
          <w:kern w:val="0"/>
          <w:szCs w:val="21"/>
        </w:rPr>
        <w:t xml:space="preserve">                                                            </w:t>
      </w:r>
      <w:r w:rsidRPr="00A41E18">
        <w:rPr>
          <w:rFonts w:eastAsiaTheme="minorEastAsia" w:hAnsiTheme="minorEastAsia"/>
          <w:color w:val="000000"/>
          <w:kern w:val="0"/>
          <w:szCs w:val="21"/>
        </w:rPr>
        <w:t xml:space="preserve">　　财政部</w:t>
      </w:r>
      <w:r>
        <w:rPr>
          <w:rFonts w:eastAsiaTheme="minorEastAsia" w:hAnsiTheme="minorEastAsia" w:hint="eastAsia"/>
          <w:color w:val="000000"/>
          <w:kern w:val="0"/>
          <w:szCs w:val="21"/>
        </w:rPr>
        <w:t xml:space="preserve">     </w:t>
      </w:r>
    </w:p>
    <w:p w:rsidR="00904B33" w:rsidRPr="00A41E18" w:rsidRDefault="00904B33" w:rsidP="00904B33">
      <w:pPr>
        <w:widowControl/>
        <w:spacing w:line="360" w:lineRule="exact"/>
        <w:jc w:val="right"/>
        <w:rPr>
          <w:rFonts w:eastAsiaTheme="minorEastAsia"/>
          <w:color w:val="000000"/>
          <w:kern w:val="0"/>
          <w:szCs w:val="21"/>
        </w:rPr>
      </w:pPr>
      <w:r w:rsidRPr="00A41E18">
        <w:rPr>
          <w:rFonts w:eastAsiaTheme="minorEastAsia" w:hAnsiTheme="minorEastAsia"/>
          <w:color w:val="000000"/>
          <w:kern w:val="0"/>
          <w:szCs w:val="21"/>
        </w:rPr>
        <w:t xml:space="preserve">　　</w:t>
      </w:r>
      <w:smartTag w:uri="urn:schemas-microsoft-com:office:smarttags" w:element="chsdate">
        <w:smartTagPr>
          <w:attr w:name="IsROCDate" w:val="False"/>
          <w:attr w:name="IsLunarDate" w:val="False"/>
          <w:attr w:name="Day" w:val="26"/>
          <w:attr w:name="Month" w:val="9"/>
          <w:attr w:name="Year" w:val="2010"/>
        </w:smartTagPr>
        <w:r w:rsidRPr="00A41E18">
          <w:rPr>
            <w:rFonts w:eastAsiaTheme="minorEastAsia" w:hAnsiTheme="minorEastAsia"/>
            <w:color w:val="000000"/>
            <w:kern w:val="0"/>
            <w:szCs w:val="21"/>
          </w:rPr>
          <w:t>二〇一〇年九月二十六日</w:t>
        </w:r>
      </w:smartTag>
    </w:p>
    <w:p w:rsidR="00904B33" w:rsidRDefault="00904B33" w:rsidP="00904B33">
      <w:pPr>
        <w:widowControl/>
        <w:jc w:val="left"/>
        <w:rPr>
          <w:rFonts w:eastAsiaTheme="minorEastAsia" w:hAnsiTheme="minorEastAsia"/>
          <w:b/>
          <w:bCs/>
          <w:color w:val="000000"/>
          <w:kern w:val="0"/>
          <w:szCs w:val="21"/>
        </w:rPr>
      </w:pPr>
      <w:r>
        <w:rPr>
          <w:rFonts w:eastAsiaTheme="minorEastAsia" w:hAnsiTheme="minorEastAsia"/>
          <w:b/>
          <w:bCs/>
          <w:color w:val="000000"/>
          <w:kern w:val="0"/>
          <w:szCs w:val="21"/>
        </w:rPr>
        <w:br w:type="page"/>
      </w:r>
    </w:p>
    <w:p w:rsidR="00904B33" w:rsidRDefault="00904B33" w:rsidP="00904B33">
      <w:pPr>
        <w:widowControl/>
        <w:spacing w:line="360" w:lineRule="exact"/>
        <w:jc w:val="left"/>
        <w:rPr>
          <w:rFonts w:eastAsiaTheme="minorEastAsia" w:hAnsiTheme="minorEastAsia"/>
          <w:b/>
          <w:bCs/>
          <w:color w:val="000000"/>
          <w:kern w:val="0"/>
          <w:szCs w:val="21"/>
        </w:rPr>
      </w:pPr>
      <w:r w:rsidRPr="00A41E18">
        <w:rPr>
          <w:rFonts w:eastAsiaTheme="minorEastAsia" w:hAnsiTheme="minorEastAsia"/>
          <w:b/>
          <w:bCs/>
          <w:color w:val="000000"/>
          <w:kern w:val="0"/>
          <w:szCs w:val="21"/>
        </w:rPr>
        <w:lastRenderedPageBreak/>
        <w:t>附件：</w:t>
      </w:r>
    </w:p>
    <w:p w:rsidR="00904B33" w:rsidRDefault="00904B33" w:rsidP="00904B33">
      <w:pPr>
        <w:widowControl/>
        <w:spacing w:line="360" w:lineRule="exact"/>
        <w:jc w:val="left"/>
        <w:rPr>
          <w:rFonts w:eastAsiaTheme="minorEastAsia" w:hAnsiTheme="minorEastAsia"/>
          <w:b/>
          <w:bCs/>
          <w:color w:val="000000"/>
          <w:kern w:val="0"/>
          <w:szCs w:val="21"/>
        </w:rPr>
      </w:pPr>
    </w:p>
    <w:p w:rsidR="00904B33" w:rsidRPr="00A41E18" w:rsidRDefault="00904B33" w:rsidP="00904B33">
      <w:pPr>
        <w:widowControl/>
        <w:spacing w:line="360" w:lineRule="exact"/>
        <w:jc w:val="center"/>
        <w:rPr>
          <w:rFonts w:eastAsiaTheme="minorEastAsia"/>
          <w:color w:val="000000"/>
          <w:kern w:val="0"/>
          <w:sz w:val="28"/>
          <w:szCs w:val="28"/>
        </w:rPr>
      </w:pPr>
      <w:r w:rsidRPr="00A41E18">
        <w:rPr>
          <w:rFonts w:eastAsiaTheme="minorEastAsia" w:hAnsiTheme="minorEastAsia"/>
          <w:b/>
          <w:bCs/>
          <w:color w:val="000000"/>
          <w:kern w:val="0"/>
          <w:sz w:val="28"/>
          <w:szCs w:val="28"/>
        </w:rPr>
        <w:t>中央单位教育收费收缴管理暂行办法</w:t>
      </w:r>
    </w:p>
    <w:p w:rsidR="00904B33" w:rsidRPr="00A41E18" w:rsidRDefault="00904B33" w:rsidP="00904B33">
      <w:pPr>
        <w:widowControl/>
        <w:spacing w:line="360" w:lineRule="exact"/>
        <w:jc w:val="center"/>
        <w:rPr>
          <w:rFonts w:eastAsiaTheme="minorEastAsia"/>
          <w:color w:val="000000"/>
          <w:kern w:val="0"/>
          <w:szCs w:val="21"/>
        </w:rPr>
      </w:pPr>
      <w:r w:rsidRPr="00A41E18">
        <w:rPr>
          <w:rFonts w:eastAsiaTheme="minorEastAsia" w:hAnsiTheme="minorEastAsia"/>
          <w:color w:val="000000"/>
          <w:kern w:val="0"/>
          <w:szCs w:val="21"/>
        </w:rPr>
        <w:t xml:space="preserve">　　</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第一条</w:t>
      </w:r>
      <w:r w:rsidRPr="00A41E18">
        <w:rPr>
          <w:rFonts w:eastAsiaTheme="minorEastAsia"/>
          <w:color w:val="000000"/>
          <w:kern w:val="0"/>
          <w:szCs w:val="21"/>
        </w:rPr>
        <w:t> </w:t>
      </w:r>
      <w:r w:rsidRPr="00A41E18">
        <w:rPr>
          <w:rFonts w:eastAsiaTheme="minorEastAsia" w:hAnsiTheme="minorEastAsia"/>
          <w:color w:val="000000"/>
          <w:kern w:val="0"/>
          <w:szCs w:val="21"/>
        </w:rPr>
        <w:t>为了加强中央单位教育收费（以下简称教育收费）收缴管理，建立规范的收缴管理制度，根据《财政国库管理制度改革方案》、《财政部关于将按预算外资金管理的预算外收入纳入预算管理的通知》（财预</w:t>
      </w:r>
      <w:r w:rsidRPr="00A41E18">
        <w:rPr>
          <w:rFonts w:eastAsiaTheme="minorEastAsia"/>
          <w:color w:val="000000"/>
          <w:kern w:val="0"/>
          <w:szCs w:val="21"/>
        </w:rPr>
        <w:t>[2010]88</w:t>
      </w:r>
      <w:r w:rsidRPr="00A41E18">
        <w:rPr>
          <w:rFonts w:eastAsiaTheme="minorEastAsia" w:hAnsiTheme="minorEastAsia"/>
          <w:color w:val="000000"/>
          <w:kern w:val="0"/>
          <w:szCs w:val="21"/>
        </w:rPr>
        <w:t>号）及政府非税收入收缴管理制度有关规定，制定本办法。</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第二条</w:t>
      </w:r>
      <w:r w:rsidRPr="00A41E18">
        <w:rPr>
          <w:rFonts w:eastAsiaTheme="minorEastAsia"/>
          <w:color w:val="000000"/>
          <w:kern w:val="0"/>
          <w:szCs w:val="21"/>
        </w:rPr>
        <w:t> </w:t>
      </w:r>
      <w:r w:rsidRPr="00A41E18">
        <w:rPr>
          <w:rFonts w:eastAsiaTheme="minorEastAsia" w:hAnsiTheme="minorEastAsia"/>
          <w:color w:val="000000"/>
          <w:kern w:val="0"/>
          <w:szCs w:val="21"/>
        </w:rPr>
        <w:t>本办法适用于中央各部门及所属单位（以下简称执收单位）按规定执收的纳入财政专户管理的教育收费，包括高中以上学费、住宿费，高校委托培养费，教育考试考</w:t>
      </w:r>
      <w:proofErr w:type="gramStart"/>
      <w:r w:rsidRPr="00A41E18">
        <w:rPr>
          <w:rFonts w:eastAsiaTheme="minorEastAsia" w:hAnsiTheme="minorEastAsia"/>
          <w:color w:val="000000"/>
          <w:kern w:val="0"/>
          <w:szCs w:val="21"/>
        </w:rPr>
        <w:t>务</w:t>
      </w:r>
      <w:proofErr w:type="gramEnd"/>
      <w:r w:rsidRPr="00A41E18">
        <w:rPr>
          <w:rFonts w:eastAsiaTheme="minorEastAsia" w:hAnsiTheme="minorEastAsia"/>
          <w:color w:val="000000"/>
          <w:kern w:val="0"/>
          <w:szCs w:val="21"/>
        </w:rPr>
        <w:t>费，函大、电大、夜大及短训班培训费，中央党校收取的函授学院办学收费、研究生收费、短期培训进修费等。</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第三条</w:t>
      </w:r>
      <w:r w:rsidRPr="00A41E18">
        <w:rPr>
          <w:rFonts w:eastAsiaTheme="minorEastAsia"/>
          <w:color w:val="000000"/>
          <w:kern w:val="0"/>
          <w:szCs w:val="21"/>
        </w:rPr>
        <w:t> </w:t>
      </w:r>
      <w:r w:rsidRPr="00A41E18">
        <w:rPr>
          <w:rFonts w:eastAsiaTheme="minorEastAsia" w:hAnsiTheme="minorEastAsia"/>
          <w:color w:val="000000"/>
          <w:kern w:val="0"/>
          <w:szCs w:val="21"/>
        </w:rPr>
        <w:t>财政部原则上为每个执收单位开设一个中央财政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，该账户用于收缴教育收费，实行</w:t>
      </w:r>
      <w:proofErr w:type="gramStart"/>
      <w:r w:rsidRPr="00A41E18">
        <w:rPr>
          <w:rFonts w:eastAsiaTheme="minorEastAsia" w:hAnsiTheme="minorEastAsia"/>
          <w:color w:val="000000"/>
          <w:kern w:val="0"/>
          <w:szCs w:val="21"/>
        </w:rPr>
        <w:t>日终零余额</w:t>
      </w:r>
      <w:proofErr w:type="gramEnd"/>
      <w:r w:rsidRPr="00A41E18">
        <w:rPr>
          <w:rFonts w:eastAsiaTheme="minorEastAsia" w:hAnsiTheme="minorEastAsia"/>
          <w:color w:val="000000"/>
          <w:kern w:val="0"/>
          <w:szCs w:val="21"/>
        </w:rPr>
        <w:t>管理。</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第四条</w:t>
      </w:r>
      <w:r w:rsidRPr="00A41E18">
        <w:rPr>
          <w:rFonts w:eastAsiaTheme="minorEastAsia"/>
          <w:color w:val="000000"/>
          <w:kern w:val="0"/>
          <w:szCs w:val="21"/>
        </w:rPr>
        <w:t xml:space="preserve">  </w:t>
      </w:r>
      <w:r w:rsidRPr="00A41E18">
        <w:rPr>
          <w:rFonts w:eastAsiaTheme="minorEastAsia" w:hAnsiTheme="minorEastAsia"/>
          <w:color w:val="000000"/>
          <w:kern w:val="0"/>
          <w:szCs w:val="21"/>
        </w:rPr>
        <w:t>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开设后，除用于扣划缴款人银行卡缴款的银行账户需要保留的外，各执收单位开设的收入过渡性存款账户在</w:t>
      </w:r>
      <w:r w:rsidRPr="00A41E18">
        <w:rPr>
          <w:rFonts w:eastAsiaTheme="minorEastAsia"/>
          <w:color w:val="000000"/>
          <w:kern w:val="0"/>
          <w:szCs w:val="21"/>
        </w:rPr>
        <w:t>20</w:t>
      </w:r>
      <w:r w:rsidRPr="00A41E18">
        <w:rPr>
          <w:rFonts w:eastAsiaTheme="minorEastAsia" w:hAnsiTheme="minorEastAsia"/>
          <w:color w:val="000000"/>
          <w:kern w:val="0"/>
          <w:szCs w:val="21"/>
        </w:rPr>
        <w:t>个工作日内予以撤销，并将收入过渡性存款账户内的资金划入财政部为其开设的中央财政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。同时，应按照中央预算单位银行账户管理有关规定，向</w:t>
      </w:r>
      <w:proofErr w:type="gramStart"/>
      <w:r w:rsidRPr="00A41E18">
        <w:rPr>
          <w:rFonts w:eastAsiaTheme="minorEastAsia" w:hAnsiTheme="minorEastAsia"/>
          <w:color w:val="000000"/>
          <w:kern w:val="0"/>
          <w:szCs w:val="21"/>
        </w:rPr>
        <w:t>财政部驻执收</w:t>
      </w:r>
      <w:proofErr w:type="gramEnd"/>
      <w:r w:rsidRPr="00A41E18">
        <w:rPr>
          <w:rFonts w:eastAsiaTheme="minorEastAsia" w:hAnsiTheme="minorEastAsia"/>
          <w:color w:val="000000"/>
          <w:kern w:val="0"/>
          <w:szCs w:val="21"/>
        </w:rPr>
        <w:t>单位所在地财政监察专员办事处履行相关备案手续。</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第五条</w:t>
      </w:r>
      <w:r w:rsidRPr="00A41E18">
        <w:rPr>
          <w:rFonts w:eastAsiaTheme="minorEastAsia"/>
          <w:color w:val="000000"/>
          <w:kern w:val="0"/>
          <w:szCs w:val="21"/>
        </w:rPr>
        <w:t> </w:t>
      </w:r>
      <w:r w:rsidRPr="00A41E18">
        <w:rPr>
          <w:rFonts w:eastAsiaTheme="minorEastAsia" w:hAnsiTheme="minorEastAsia"/>
          <w:color w:val="000000"/>
          <w:kern w:val="0"/>
          <w:szCs w:val="21"/>
        </w:rPr>
        <w:t>教育收费收缴采取直接缴库和集中汇缴方式。各执收单位教育收费具体收缴方式，由财政部按照方便缴款、满足管理需要、利于收缴信息匹配的原则，在对中央部门实施收入收缴改革的相关文件中确定。</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第六条</w:t>
      </w:r>
      <w:r w:rsidRPr="00A41E18">
        <w:rPr>
          <w:rFonts w:eastAsiaTheme="minorEastAsia"/>
          <w:color w:val="000000"/>
          <w:kern w:val="0"/>
          <w:szCs w:val="21"/>
        </w:rPr>
        <w:t xml:space="preserve">  </w:t>
      </w:r>
      <w:r w:rsidRPr="00A41E18">
        <w:rPr>
          <w:rFonts w:eastAsiaTheme="minorEastAsia" w:hAnsiTheme="minorEastAsia"/>
          <w:color w:val="000000"/>
          <w:kern w:val="0"/>
          <w:szCs w:val="21"/>
        </w:rPr>
        <w:t>直接缴库流程：执收单位按规定开具《非税收入一般缴款书》，缴款人持《非税收入一般缴款书》第一至三联在规定期限内到该单位中央财政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开户银行（以下简称开户行）缴款，执收单位收到缴款人或代理银行退还的《非税收入一般缴款书》第一联，确认缴款后，在《非税收入一般缴款书》第四联加盖印章交缴款人作缴款收据。</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第七条</w:t>
      </w:r>
      <w:r w:rsidRPr="00A41E18">
        <w:rPr>
          <w:rFonts w:eastAsiaTheme="minorEastAsia"/>
          <w:color w:val="000000"/>
          <w:kern w:val="0"/>
          <w:szCs w:val="21"/>
        </w:rPr>
        <w:t xml:space="preserve">  </w:t>
      </w:r>
      <w:r w:rsidRPr="00A41E18">
        <w:rPr>
          <w:rFonts w:eastAsiaTheme="minorEastAsia" w:hAnsiTheme="minorEastAsia"/>
          <w:color w:val="000000"/>
          <w:kern w:val="0"/>
          <w:szCs w:val="21"/>
        </w:rPr>
        <w:t>集中汇</w:t>
      </w:r>
      <w:proofErr w:type="gramStart"/>
      <w:r w:rsidRPr="00A41E18">
        <w:rPr>
          <w:rFonts w:eastAsiaTheme="minorEastAsia" w:hAnsiTheme="minorEastAsia"/>
          <w:color w:val="000000"/>
          <w:kern w:val="0"/>
          <w:szCs w:val="21"/>
        </w:rPr>
        <w:t>缴分为</w:t>
      </w:r>
      <w:proofErr w:type="gramEnd"/>
      <w:r w:rsidRPr="00A41E18">
        <w:rPr>
          <w:rFonts w:eastAsiaTheme="minorEastAsia" w:hAnsiTheme="minorEastAsia"/>
          <w:color w:val="000000"/>
          <w:kern w:val="0"/>
          <w:szCs w:val="21"/>
        </w:rPr>
        <w:t>按日集中汇缴和按旬、按月集中汇缴。</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按日集中汇缴流程：执收单位使用中央单位行政事业性收费收据或中央高校专用收费收据向缴款人收取款项后，每日将所收款项按收费项目汇总开具《非税收入一般缴款书》，持第一至三联到开户行缴款。当日来不及上缴的，须在第二个工作日上午办理完缴款手续。</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按旬、按月集中汇缴流程：执收单位使用中央单位行政事业性收费收据或中央高校专用收费收据向缴款人收取款项后，按旬（即每月</w:t>
      </w:r>
      <w:r w:rsidRPr="00A41E18">
        <w:rPr>
          <w:rFonts w:eastAsiaTheme="minorEastAsia"/>
          <w:color w:val="000000"/>
          <w:kern w:val="0"/>
          <w:szCs w:val="21"/>
        </w:rPr>
        <w:t>5</w:t>
      </w:r>
      <w:r w:rsidRPr="00A41E18">
        <w:rPr>
          <w:rFonts w:eastAsiaTheme="minorEastAsia" w:hAnsiTheme="minorEastAsia"/>
          <w:color w:val="000000"/>
          <w:kern w:val="0"/>
          <w:szCs w:val="21"/>
        </w:rPr>
        <w:t>日、</w:t>
      </w:r>
      <w:r w:rsidRPr="00A41E18">
        <w:rPr>
          <w:rFonts w:eastAsiaTheme="minorEastAsia"/>
          <w:color w:val="000000"/>
          <w:kern w:val="0"/>
          <w:szCs w:val="21"/>
        </w:rPr>
        <w:t>15</w:t>
      </w:r>
      <w:r w:rsidRPr="00A41E18">
        <w:rPr>
          <w:rFonts w:eastAsiaTheme="minorEastAsia" w:hAnsiTheme="minorEastAsia"/>
          <w:color w:val="000000"/>
          <w:kern w:val="0"/>
          <w:szCs w:val="21"/>
        </w:rPr>
        <w:t>日、</w:t>
      </w:r>
      <w:r w:rsidRPr="00A41E18">
        <w:rPr>
          <w:rFonts w:eastAsiaTheme="minorEastAsia"/>
          <w:color w:val="000000"/>
          <w:kern w:val="0"/>
          <w:szCs w:val="21"/>
        </w:rPr>
        <w:t>25</w:t>
      </w:r>
      <w:r w:rsidRPr="00A41E18">
        <w:rPr>
          <w:rFonts w:eastAsiaTheme="minorEastAsia" w:hAnsiTheme="minorEastAsia"/>
          <w:color w:val="000000"/>
          <w:kern w:val="0"/>
          <w:szCs w:val="21"/>
        </w:rPr>
        <w:t>日，节假日顺延）或按月（每月终了前</w:t>
      </w:r>
      <w:r w:rsidRPr="00A41E18">
        <w:rPr>
          <w:rFonts w:eastAsiaTheme="minorEastAsia"/>
          <w:color w:val="000000"/>
          <w:kern w:val="0"/>
          <w:szCs w:val="21"/>
        </w:rPr>
        <w:t>5</w:t>
      </w:r>
      <w:r w:rsidRPr="00A41E18">
        <w:rPr>
          <w:rFonts w:eastAsiaTheme="minorEastAsia" w:hAnsiTheme="minorEastAsia"/>
          <w:color w:val="000000"/>
          <w:kern w:val="0"/>
          <w:szCs w:val="21"/>
        </w:rPr>
        <w:t>个工作日内）将所收款</w:t>
      </w:r>
      <w:proofErr w:type="gramStart"/>
      <w:r w:rsidRPr="00A41E18">
        <w:rPr>
          <w:rFonts w:eastAsiaTheme="minorEastAsia" w:hAnsiTheme="minorEastAsia"/>
          <w:color w:val="000000"/>
          <w:kern w:val="0"/>
          <w:szCs w:val="21"/>
        </w:rPr>
        <w:t>项根据</w:t>
      </w:r>
      <w:proofErr w:type="gramEnd"/>
      <w:r w:rsidRPr="00A41E18">
        <w:rPr>
          <w:rFonts w:eastAsiaTheme="minorEastAsia" w:hAnsiTheme="minorEastAsia"/>
          <w:color w:val="000000"/>
          <w:kern w:val="0"/>
          <w:szCs w:val="21"/>
        </w:rPr>
        <w:t>收费项目汇总开具《非税收入一般缴款书》，持第一至三联到开户行缴款。</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执收单位应在每年最后一个工作日开户行营业终了前，将当年集中汇缴的所有应缴款项扫数缴入中央财政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第八条</w:t>
      </w:r>
      <w:r w:rsidRPr="00A41E18">
        <w:rPr>
          <w:rFonts w:eastAsiaTheme="minorEastAsia"/>
          <w:color w:val="000000"/>
          <w:kern w:val="0"/>
          <w:szCs w:val="21"/>
        </w:rPr>
        <w:t> </w:t>
      </w:r>
      <w:r w:rsidRPr="00A41E18">
        <w:rPr>
          <w:rFonts w:eastAsiaTheme="minorEastAsia" w:hAnsiTheme="minorEastAsia"/>
          <w:color w:val="000000"/>
          <w:kern w:val="0"/>
          <w:szCs w:val="21"/>
        </w:rPr>
        <w:t>开户</w:t>
      </w:r>
      <w:proofErr w:type="gramStart"/>
      <w:r w:rsidRPr="00A41E18">
        <w:rPr>
          <w:rFonts w:eastAsiaTheme="minorEastAsia" w:hAnsiTheme="minorEastAsia"/>
          <w:color w:val="000000"/>
          <w:kern w:val="0"/>
          <w:szCs w:val="21"/>
        </w:rPr>
        <w:t>行收到</w:t>
      </w:r>
      <w:proofErr w:type="gramEnd"/>
      <w:r w:rsidRPr="00A41E18">
        <w:rPr>
          <w:rFonts w:eastAsiaTheme="minorEastAsia" w:hAnsiTheme="minorEastAsia"/>
          <w:color w:val="000000"/>
          <w:kern w:val="0"/>
          <w:szCs w:val="21"/>
        </w:rPr>
        <w:t>款项后，应立即办理相关业务，将资金缴入中央财政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第九条</w:t>
      </w:r>
      <w:r w:rsidRPr="00A41E18">
        <w:rPr>
          <w:rFonts w:eastAsiaTheme="minorEastAsia"/>
          <w:color w:val="000000"/>
          <w:kern w:val="0"/>
          <w:szCs w:val="21"/>
        </w:rPr>
        <w:t> </w:t>
      </w:r>
      <w:r w:rsidRPr="00A41E18">
        <w:rPr>
          <w:rFonts w:eastAsiaTheme="minorEastAsia" w:hAnsiTheme="minorEastAsia"/>
          <w:color w:val="000000"/>
          <w:kern w:val="0"/>
          <w:szCs w:val="21"/>
        </w:rPr>
        <w:t>开户行应在当日营业终了前将缴入中央财政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的资金自动汇划中央财政专户。</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lastRenderedPageBreak/>
        <w:t xml:space="preserve">　　第十条</w:t>
      </w:r>
      <w:r w:rsidRPr="00A41E18">
        <w:rPr>
          <w:rFonts w:eastAsiaTheme="minorEastAsia"/>
          <w:color w:val="000000"/>
          <w:kern w:val="0"/>
          <w:szCs w:val="21"/>
        </w:rPr>
        <w:t> </w:t>
      </w:r>
      <w:r w:rsidRPr="00A41E18">
        <w:rPr>
          <w:rFonts w:eastAsiaTheme="minorEastAsia" w:hAnsiTheme="minorEastAsia"/>
          <w:color w:val="000000"/>
          <w:kern w:val="0"/>
          <w:szCs w:val="21"/>
        </w:rPr>
        <w:t>开户行按日向其代理的执收单位反馈教育收费收缴明细信息，并将明细收入信息按照规定的数据格式传送中央财政专户开户银行，中央财政专户开户银行负责核对资金和信息。中央财政专户开户银行应按规定向财政部和</w:t>
      </w:r>
      <w:proofErr w:type="gramStart"/>
      <w:r w:rsidRPr="00A41E18">
        <w:rPr>
          <w:rFonts w:eastAsiaTheme="minorEastAsia" w:hAnsiTheme="minorEastAsia"/>
          <w:color w:val="000000"/>
          <w:kern w:val="0"/>
          <w:szCs w:val="21"/>
        </w:rPr>
        <w:t>执收</w:t>
      </w:r>
      <w:proofErr w:type="gramEnd"/>
      <w:r w:rsidRPr="00A41E18">
        <w:rPr>
          <w:rFonts w:eastAsiaTheme="minorEastAsia" w:hAnsiTheme="minorEastAsia"/>
          <w:color w:val="000000"/>
          <w:kern w:val="0"/>
          <w:szCs w:val="21"/>
        </w:rPr>
        <w:t>单位的主管部门反馈教育收费收缴信息。</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第十一条</w:t>
      </w:r>
      <w:r w:rsidRPr="00A41E18">
        <w:rPr>
          <w:rFonts w:eastAsiaTheme="minorEastAsia"/>
          <w:color w:val="000000"/>
          <w:kern w:val="0"/>
          <w:szCs w:val="21"/>
        </w:rPr>
        <w:t> </w:t>
      </w:r>
      <w:r w:rsidRPr="00A41E18">
        <w:rPr>
          <w:rFonts w:eastAsiaTheme="minorEastAsia" w:hAnsiTheme="minorEastAsia"/>
          <w:color w:val="000000"/>
          <w:kern w:val="0"/>
          <w:szCs w:val="21"/>
        </w:rPr>
        <w:t>执收单位的主管部门和</w:t>
      </w:r>
      <w:proofErr w:type="gramStart"/>
      <w:r w:rsidRPr="00A41E18">
        <w:rPr>
          <w:rFonts w:eastAsiaTheme="minorEastAsia" w:hAnsiTheme="minorEastAsia"/>
          <w:color w:val="000000"/>
          <w:kern w:val="0"/>
          <w:szCs w:val="21"/>
        </w:rPr>
        <w:t>执收</w:t>
      </w:r>
      <w:proofErr w:type="gramEnd"/>
      <w:r w:rsidRPr="00A41E18">
        <w:rPr>
          <w:rFonts w:eastAsiaTheme="minorEastAsia" w:hAnsiTheme="minorEastAsia"/>
          <w:color w:val="000000"/>
          <w:kern w:val="0"/>
          <w:szCs w:val="21"/>
        </w:rPr>
        <w:t>单位应建立健全相关制度，确保应上缴中央财政的教育收费按规定及时缴入相应的中央财政</w:t>
      </w:r>
      <w:proofErr w:type="gramStart"/>
      <w:r w:rsidRPr="00A41E18">
        <w:rPr>
          <w:rFonts w:eastAsiaTheme="minorEastAsia" w:hAnsiTheme="minorEastAsia"/>
          <w:color w:val="000000"/>
          <w:kern w:val="0"/>
          <w:szCs w:val="21"/>
        </w:rPr>
        <w:t>汇缴专户</w:t>
      </w:r>
      <w:proofErr w:type="gramEnd"/>
      <w:r w:rsidRPr="00A41E18">
        <w:rPr>
          <w:rFonts w:eastAsiaTheme="minorEastAsia" w:hAnsiTheme="minorEastAsia"/>
          <w:color w:val="000000"/>
          <w:kern w:val="0"/>
          <w:szCs w:val="21"/>
        </w:rPr>
        <w:t>。</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第十二条</w:t>
      </w:r>
      <w:r w:rsidRPr="00A41E18">
        <w:rPr>
          <w:rFonts w:eastAsiaTheme="minorEastAsia"/>
          <w:color w:val="000000"/>
          <w:kern w:val="0"/>
          <w:szCs w:val="21"/>
        </w:rPr>
        <w:t> </w:t>
      </w:r>
      <w:r w:rsidRPr="00A41E18">
        <w:rPr>
          <w:rFonts w:eastAsiaTheme="minorEastAsia" w:hAnsiTheme="minorEastAsia"/>
          <w:color w:val="000000"/>
          <w:kern w:val="0"/>
          <w:szCs w:val="21"/>
        </w:rPr>
        <w:t>财政部与执收单位的主管部门、中央财政专户开户银行按规定定期对账。</w:t>
      </w:r>
    </w:p>
    <w:p w:rsidR="00904B33" w:rsidRPr="00A41E18" w:rsidRDefault="00904B33" w:rsidP="00904B33">
      <w:pPr>
        <w:widowControl/>
        <w:spacing w:line="360" w:lineRule="exact"/>
        <w:jc w:val="left"/>
        <w:rPr>
          <w:rFonts w:eastAsiaTheme="minorEastAsia"/>
          <w:color w:val="000000"/>
          <w:kern w:val="0"/>
          <w:szCs w:val="21"/>
        </w:rPr>
      </w:pPr>
      <w:r w:rsidRPr="00A41E18">
        <w:rPr>
          <w:rFonts w:eastAsiaTheme="minorEastAsia" w:hAnsiTheme="minorEastAsia"/>
          <w:color w:val="000000"/>
          <w:kern w:val="0"/>
          <w:szCs w:val="21"/>
        </w:rPr>
        <w:t xml:space="preserve">　　第十三条</w:t>
      </w:r>
      <w:r w:rsidRPr="00A41E18">
        <w:rPr>
          <w:rFonts w:eastAsiaTheme="minorEastAsia"/>
          <w:color w:val="000000"/>
          <w:kern w:val="0"/>
          <w:szCs w:val="21"/>
        </w:rPr>
        <w:t> </w:t>
      </w:r>
      <w:r w:rsidRPr="00A41E18">
        <w:rPr>
          <w:rFonts w:eastAsiaTheme="minorEastAsia" w:hAnsiTheme="minorEastAsia"/>
          <w:color w:val="000000"/>
          <w:kern w:val="0"/>
          <w:szCs w:val="21"/>
        </w:rPr>
        <w:t>教育收费的资金拨付，由财政部根据部门预算、教育收费上缴财政专户情况和用款申请，按照财政国库管理制度有关规定从财政专户中核拨。</w:t>
      </w:r>
    </w:p>
    <w:p w:rsidR="00904B33" w:rsidRPr="00B03B08" w:rsidRDefault="00904B33" w:rsidP="00904B33">
      <w:pPr>
        <w:widowControl/>
        <w:spacing w:line="360" w:lineRule="exact"/>
        <w:jc w:val="left"/>
        <w:rPr>
          <w:rFonts w:ascii="华文细黑" w:eastAsia="华文细黑" w:hAnsi="华文细黑"/>
          <w:color w:val="000000"/>
          <w:kern w:val="0"/>
          <w:sz w:val="24"/>
        </w:rPr>
        <w:sectPr w:rsidR="00904B33" w:rsidRPr="00B03B08" w:rsidSect="00A41E18">
          <w:pgSz w:w="11906" w:h="16838"/>
          <w:pgMar w:top="1440" w:right="1588" w:bottom="1440" w:left="1588" w:header="851" w:footer="992" w:gutter="0"/>
          <w:cols w:space="425"/>
          <w:docGrid w:type="lines" w:linePitch="312"/>
        </w:sectPr>
      </w:pPr>
      <w:r w:rsidRPr="00A41E18">
        <w:rPr>
          <w:rFonts w:eastAsiaTheme="minorEastAsia" w:hAnsiTheme="minorEastAsia"/>
          <w:color w:val="000000"/>
          <w:kern w:val="0"/>
          <w:szCs w:val="21"/>
        </w:rPr>
        <w:t xml:space="preserve">　　第十四条</w:t>
      </w:r>
      <w:r w:rsidRPr="00A41E18">
        <w:rPr>
          <w:rFonts w:eastAsiaTheme="minorEastAsia"/>
          <w:color w:val="000000"/>
          <w:kern w:val="0"/>
          <w:szCs w:val="21"/>
        </w:rPr>
        <w:t xml:space="preserve">  </w:t>
      </w:r>
      <w:r w:rsidRPr="00A41E18">
        <w:rPr>
          <w:rFonts w:eastAsiaTheme="minorEastAsia" w:hAnsiTheme="minorEastAsia"/>
          <w:color w:val="000000"/>
          <w:kern w:val="0"/>
          <w:szCs w:val="21"/>
        </w:rPr>
        <w:t>本办法自发布之日起施行。</w:t>
      </w:r>
    </w:p>
    <w:p w:rsidR="00047E9F" w:rsidRPr="00904B33" w:rsidRDefault="00047E9F"/>
    <w:sectPr w:rsidR="00047E9F" w:rsidRPr="00904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33"/>
    <w:rsid w:val="00047E9F"/>
    <w:rsid w:val="00407F1E"/>
    <w:rsid w:val="007B672B"/>
    <w:rsid w:val="00904B33"/>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33"/>
    <w:pPr>
      <w:widowControl w:val="0"/>
      <w:jc w:val="both"/>
    </w:pPr>
    <w:rPr>
      <w:rFonts w:ascii="Times New Roman" w:eastAsia="宋体" w:hAnsi="Times New Roman" w:cs="Times New Roman"/>
      <w:szCs w:val="24"/>
    </w:rPr>
  </w:style>
  <w:style w:type="paragraph" w:styleId="2">
    <w:name w:val="heading 2"/>
    <w:basedOn w:val="a"/>
    <w:next w:val="a"/>
    <w:link w:val="2Char"/>
    <w:qFormat/>
    <w:rsid w:val="00904B3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04B33"/>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33"/>
    <w:pPr>
      <w:widowControl w:val="0"/>
      <w:jc w:val="both"/>
    </w:pPr>
    <w:rPr>
      <w:rFonts w:ascii="Times New Roman" w:eastAsia="宋体" w:hAnsi="Times New Roman" w:cs="Times New Roman"/>
      <w:szCs w:val="24"/>
    </w:rPr>
  </w:style>
  <w:style w:type="paragraph" w:styleId="2">
    <w:name w:val="heading 2"/>
    <w:basedOn w:val="a"/>
    <w:next w:val="a"/>
    <w:link w:val="2Char"/>
    <w:qFormat/>
    <w:rsid w:val="00904B3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04B33"/>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1496</Characters>
  <Application>Microsoft Office Word</Application>
  <DocSecurity>0</DocSecurity>
  <Lines>12</Lines>
  <Paragraphs>3</Paragraphs>
  <ScaleCrop>false</ScaleCrop>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2016-11-07T08:50:00Z</dcterms:created>
  <dcterms:modified xsi:type="dcterms:W3CDTF">2016-11-07T08:50:00Z</dcterms:modified>
</cp:coreProperties>
</file>