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DE8" w:rsidRPr="00C84A26" w:rsidRDefault="00747DE8" w:rsidP="00747DE8">
      <w:pPr>
        <w:pStyle w:val="2"/>
        <w:spacing w:before="312" w:after="156"/>
      </w:pPr>
      <w:bookmarkStart w:id="0" w:name="_Toc445143226"/>
      <w:bookmarkStart w:id="1" w:name="_Toc445994306"/>
      <w:bookmarkStart w:id="2" w:name="_Toc460337852"/>
      <w:bookmarkStart w:id="3" w:name="_GoBack"/>
      <w:bookmarkEnd w:id="3"/>
      <w:r w:rsidRPr="00C84A26">
        <w:rPr>
          <w:rFonts w:hint="eastAsia"/>
        </w:rPr>
        <w:t>关于切实做好治理教育乱收费工作的通知</w:t>
      </w:r>
      <w:bookmarkEnd w:id="0"/>
      <w:bookmarkEnd w:id="1"/>
      <w:bookmarkEnd w:id="2"/>
    </w:p>
    <w:p w:rsidR="00747DE8" w:rsidRDefault="00747DE8" w:rsidP="00747DE8">
      <w:pPr>
        <w:spacing w:line="360" w:lineRule="exact"/>
        <w:jc w:val="center"/>
        <w:rPr>
          <w:rFonts w:eastAsiaTheme="minorEastAsia" w:hAnsiTheme="minorEastAsia"/>
        </w:rPr>
      </w:pPr>
    </w:p>
    <w:p w:rsidR="00747DE8" w:rsidRDefault="00747DE8" w:rsidP="00747DE8">
      <w:pPr>
        <w:spacing w:line="360" w:lineRule="exact"/>
        <w:jc w:val="center"/>
        <w:rPr>
          <w:rFonts w:eastAsiaTheme="minorEastAsia" w:hAnsiTheme="minorEastAsia"/>
        </w:rPr>
      </w:pPr>
      <w:r w:rsidRPr="00C84A26">
        <w:rPr>
          <w:rFonts w:eastAsiaTheme="minorEastAsia" w:hAnsiTheme="minorEastAsia"/>
        </w:rPr>
        <w:t>财综</w:t>
      </w:r>
      <w:r w:rsidRPr="00C84A26">
        <w:rPr>
          <w:rFonts w:eastAsiaTheme="minorEastAsia"/>
        </w:rPr>
        <w:t>[2010]37</w:t>
      </w:r>
      <w:r w:rsidRPr="00C84A26">
        <w:rPr>
          <w:rFonts w:eastAsiaTheme="minorEastAsia" w:hAnsiTheme="minorEastAsia"/>
        </w:rPr>
        <w:t>号</w:t>
      </w:r>
    </w:p>
    <w:p w:rsidR="00747DE8" w:rsidRPr="00C84A26" w:rsidRDefault="00747DE8" w:rsidP="00747DE8">
      <w:pPr>
        <w:spacing w:line="360" w:lineRule="exact"/>
        <w:jc w:val="center"/>
        <w:rPr>
          <w:rFonts w:eastAsiaTheme="minorEastAsia"/>
        </w:rPr>
      </w:pPr>
    </w:p>
    <w:p w:rsidR="00747DE8" w:rsidRPr="00C84A26" w:rsidRDefault="00747DE8" w:rsidP="00747DE8">
      <w:pPr>
        <w:spacing w:line="360" w:lineRule="exact"/>
        <w:rPr>
          <w:rFonts w:eastAsiaTheme="minorEastAsia"/>
        </w:rPr>
      </w:pPr>
      <w:r w:rsidRPr="00C84A26">
        <w:rPr>
          <w:rFonts w:eastAsiaTheme="minorEastAsia" w:hAnsiTheme="minorEastAsia"/>
        </w:rPr>
        <w:t>各省、自治区、直辖市财政厅（局），新疆生产建设兵团财务局：</w:t>
      </w:r>
    </w:p>
    <w:p w:rsidR="00747DE8" w:rsidRPr="00C84A26" w:rsidRDefault="00747DE8" w:rsidP="00747DE8">
      <w:pPr>
        <w:spacing w:line="360" w:lineRule="exact"/>
        <w:rPr>
          <w:rFonts w:eastAsiaTheme="minorEastAsia"/>
        </w:rPr>
      </w:pPr>
      <w:r w:rsidRPr="00C84A26">
        <w:rPr>
          <w:rFonts w:eastAsiaTheme="minorEastAsia" w:hAnsiTheme="minorEastAsia"/>
        </w:rPr>
        <w:t xml:space="preserve">　　近年来，各级财政部门切实保障教育经费，不断加大教育投入力度，加强教育收费管理，特别是在教育收费专项治理等方面做了大量工作，取得一定成效。但也要清醒地看到，一些地区教育乱收费问题仍然存在，个别地区还相当突出。为贯彻落实第十七届中央纪委第五次会议和国务院第三次廉政工作会议关于治理教育乱收费工作的部署和要求，根据教育部、国务院纠风办、监察部、国家发展改革委、财政部、审计署、新闻出版总署联合印发的《关于</w:t>
      </w:r>
      <w:r w:rsidRPr="00C84A26">
        <w:rPr>
          <w:rFonts w:eastAsiaTheme="minorEastAsia"/>
        </w:rPr>
        <w:t>2010</w:t>
      </w:r>
      <w:r w:rsidRPr="00C84A26">
        <w:rPr>
          <w:rFonts w:eastAsiaTheme="minorEastAsia" w:hAnsiTheme="minorEastAsia"/>
        </w:rPr>
        <w:t>年治理教育乱收费规范教育收费工作的实施意见》（教财</w:t>
      </w:r>
      <w:r w:rsidRPr="00C84A26">
        <w:rPr>
          <w:rFonts w:eastAsiaTheme="minorEastAsia"/>
        </w:rPr>
        <w:t>[2010]2</w:t>
      </w:r>
      <w:r w:rsidRPr="00C84A26">
        <w:rPr>
          <w:rFonts w:eastAsiaTheme="minorEastAsia" w:hAnsiTheme="minorEastAsia"/>
        </w:rPr>
        <w:t>号）的有关规定，现就进一步规范教育收费管理，切实做好治理教育乱收费工作的有关事宜通知如下：</w:t>
      </w:r>
    </w:p>
    <w:p w:rsidR="00747DE8" w:rsidRPr="00C84A26" w:rsidRDefault="00747DE8" w:rsidP="00747DE8">
      <w:pPr>
        <w:spacing w:line="360" w:lineRule="exact"/>
        <w:rPr>
          <w:rFonts w:eastAsiaTheme="minorEastAsia"/>
          <w:b/>
        </w:rPr>
      </w:pPr>
      <w:bookmarkStart w:id="4" w:name="a4"/>
      <w:bookmarkEnd w:id="4"/>
      <w:r w:rsidRPr="00C84A26">
        <w:rPr>
          <w:rFonts w:eastAsiaTheme="minorEastAsia" w:hAnsiTheme="minorEastAsia"/>
        </w:rPr>
        <w:t xml:space="preserve">　　</w:t>
      </w:r>
      <w:r w:rsidRPr="00C84A26">
        <w:rPr>
          <w:rFonts w:eastAsiaTheme="minorEastAsia" w:hAnsiTheme="minorEastAsia"/>
          <w:b/>
        </w:rPr>
        <w:t>一、严格教育收费审批管理，切实规范教育收费行为</w:t>
      </w:r>
    </w:p>
    <w:p w:rsidR="00747DE8" w:rsidRPr="00C84A26" w:rsidRDefault="00747DE8" w:rsidP="00747DE8">
      <w:pPr>
        <w:spacing w:line="360" w:lineRule="exact"/>
        <w:rPr>
          <w:rFonts w:eastAsiaTheme="minorEastAsia"/>
        </w:rPr>
      </w:pPr>
      <w:r w:rsidRPr="00C84A26">
        <w:rPr>
          <w:rFonts w:eastAsiaTheme="minorEastAsia" w:hAnsiTheme="minorEastAsia"/>
        </w:rPr>
        <w:t xml:space="preserve">　　各级财政部门要与教育、价格等部门密切配合，继续清理教育收费项目和标准。未经国务院或财政部、国家发展改革委、教育部批准，各地一律不得设立新的教育行政事业性收费项目。</w:t>
      </w:r>
    </w:p>
    <w:p w:rsidR="00747DE8" w:rsidRPr="00C84A26" w:rsidRDefault="00747DE8" w:rsidP="00747DE8">
      <w:pPr>
        <w:spacing w:line="360" w:lineRule="exact"/>
        <w:rPr>
          <w:rFonts w:eastAsiaTheme="minorEastAsia"/>
        </w:rPr>
      </w:pPr>
      <w:r w:rsidRPr="00C84A26">
        <w:rPr>
          <w:rFonts w:eastAsiaTheme="minorEastAsia" w:hAnsiTheme="minorEastAsia"/>
        </w:rPr>
        <w:t xml:space="preserve">　　义务教育阶段公办学校要坚持学生免试就近入学，除城市义务教育阶段住宿费外，不得收取其他任何行政事业性收费，包括学杂费、借读费等，不得将捐资助学与录取学生挂钩，学校接受的捐资助学收入应全额纳入学校财务统一核算。公办普通高中除按照国家规定收取学费、住宿费和择校费外，不得收取其他任何行政事业性收费。公办普通高中招收择校生要严格执行</w:t>
      </w:r>
      <w:r w:rsidRPr="00C84A26">
        <w:rPr>
          <w:rFonts w:eastAsiaTheme="minorEastAsia"/>
        </w:rPr>
        <w:t>“</w:t>
      </w:r>
      <w:r w:rsidRPr="00C84A26">
        <w:rPr>
          <w:rFonts w:eastAsiaTheme="minorEastAsia" w:hAnsiTheme="minorEastAsia"/>
        </w:rPr>
        <w:t>三限</w:t>
      </w:r>
      <w:r w:rsidRPr="00C84A26">
        <w:rPr>
          <w:rFonts w:eastAsiaTheme="minorEastAsia"/>
        </w:rPr>
        <w:t>”</w:t>
      </w:r>
      <w:r w:rsidRPr="00C84A26">
        <w:rPr>
          <w:rFonts w:eastAsiaTheme="minorEastAsia" w:hAnsiTheme="minorEastAsia"/>
        </w:rPr>
        <w:t>政策，收取择校费后不得重复收取学费。有条件的地区要逐步降低公办高中招收择校生比例和收取择校费标准。中等职业学校除按照规定收取学费和住宿费外，不得收取其他任何行政事业性收费。高等学校要严格按照《教育部国家发展改革委</w:t>
      </w:r>
      <w:r w:rsidRPr="00C84A26">
        <w:rPr>
          <w:rFonts w:eastAsiaTheme="minorEastAsia"/>
        </w:rPr>
        <w:t xml:space="preserve"> </w:t>
      </w:r>
      <w:r w:rsidRPr="00C84A26">
        <w:rPr>
          <w:rFonts w:eastAsiaTheme="minorEastAsia" w:hAnsiTheme="minorEastAsia"/>
        </w:rPr>
        <w:t>财政部关于进一步规范高校教育收费管理若干问题的通知》（教财</w:t>
      </w:r>
      <w:r w:rsidRPr="00C84A26">
        <w:rPr>
          <w:rFonts w:eastAsiaTheme="minorEastAsia"/>
        </w:rPr>
        <w:t>[2006]2</w:t>
      </w:r>
      <w:r w:rsidRPr="00C84A26">
        <w:rPr>
          <w:rFonts w:eastAsiaTheme="minorEastAsia" w:hAnsiTheme="minorEastAsia"/>
        </w:rPr>
        <w:t>号）的有关规定收取费用，学费和住宿费应按学年或学期收取，不得跨学年预收。学生缴纳学费和住宿费后，如因故退学或提前结束学业，高校应根据学生实际学习时间和住宿时间，按月计退剩余的学费和住宿费。各省、自治区、直辖市财政部门要严格按照国务院有关规定从严控制城市义务教育阶段公办学校、公办普通高中、中等职业学校和高等学校各项行政事业性收费标准，除国务院另有规定外，今后</w:t>
      </w:r>
      <w:r w:rsidRPr="00C84A26">
        <w:rPr>
          <w:rFonts w:eastAsiaTheme="minorEastAsia"/>
        </w:rPr>
        <w:t>2</w:t>
      </w:r>
      <w:r w:rsidRPr="00C84A26">
        <w:rPr>
          <w:rFonts w:eastAsiaTheme="minorEastAsia" w:hAnsiTheme="minorEastAsia"/>
        </w:rPr>
        <w:t>年上述学校的学费、住宿费标准不得高于</w:t>
      </w:r>
      <w:r w:rsidRPr="00C84A26">
        <w:rPr>
          <w:rFonts w:eastAsiaTheme="minorEastAsia"/>
        </w:rPr>
        <w:t>2006</w:t>
      </w:r>
      <w:r w:rsidRPr="00C84A26">
        <w:rPr>
          <w:rFonts w:eastAsiaTheme="minorEastAsia" w:hAnsiTheme="minorEastAsia"/>
        </w:rPr>
        <w:t>年秋季学期收费水平。</w:t>
      </w:r>
    </w:p>
    <w:p w:rsidR="00747DE8" w:rsidRPr="00C84A26" w:rsidRDefault="00747DE8" w:rsidP="00747DE8">
      <w:pPr>
        <w:spacing w:line="360" w:lineRule="exact"/>
        <w:rPr>
          <w:rFonts w:eastAsiaTheme="minorEastAsia"/>
          <w:b/>
        </w:rPr>
      </w:pPr>
      <w:bookmarkStart w:id="5" w:name="a7"/>
      <w:bookmarkEnd w:id="5"/>
      <w:r w:rsidRPr="00C84A26">
        <w:rPr>
          <w:rFonts w:eastAsiaTheme="minorEastAsia" w:hAnsiTheme="minorEastAsia"/>
        </w:rPr>
        <w:t xml:space="preserve">　　</w:t>
      </w:r>
      <w:r w:rsidRPr="00C84A26">
        <w:rPr>
          <w:rFonts w:eastAsiaTheme="minorEastAsia" w:hAnsiTheme="minorEastAsia"/>
          <w:b/>
        </w:rPr>
        <w:t>二、加大教育经费投入力度，确保各项教育惠民政策落到实处</w:t>
      </w:r>
    </w:p>
    <w:p w:rsidR="00747DE8" w:rsidRPr="00C84A26" w:rsidRDefault="00747DE8" w:rsidP="00747DE8">
      <w:pPr>
        <w:spacing w:line="360" w:lineRule="exact"/>
        <w:rPr>
          <w:rFonts w:eastAsiaTheme="minorEastAsia"/>
        </w:rPr>
      </w:pPr>
      <w:r w:rsidRPr="00C84A26">
        <w:rPr>
          <w:rFonts w:eastAsiaTheme="minorEastAsia" w:hAnsiTheme="minorEastAsia"/>
        </w:rPr>
        <w:t xml:space="preserve">　　各级财政部门要按照《国务院关于深化农村义务教育经费保障机制改革的通知》（国发</w:t>
      </w:r>
      <w:r w:rsidRPr="00C84A26">
        <w:rPr>
          <w:rFonts w:eastAsiaTheme="minorEastAsia"/>
        </w:rPr>
        <w:t>[2005]43</w:t>
      </w:r>
      <w:r w:rsidRPr="00C84A26">
        <w:rPr>
          <w:rFonts w:eastAsiaTheme="minorEastAsia" w:hAnsiTheme="minorEastAsia"/>
        </w:rPr>
        <w:t>号）和《财政部</w:t>
      </w:r>
      <w:r w:rsidRPr="00C84A26">
        <w:rPr>
          <w:rFonts w:eastAsiaTheme="minorEastAsia"/>
        </w:rPr>
        <w:t xml:space="preserve"> </w:t>
      </w:r>
      <w:r w:rsidRPr="00C84A26">
        <w:rPr>
          <w:rFonts w:eastAsiaTheme="minorEastAsia" w:hAnsiTheme="minorEastAsia"/>
        </w:rPr>
        <w:t>教育部关于进一步加强农村义务教育经费保障机制改革资金管理的若干意见》（财教</w:t>
      </w:r>
      <w:r w:rsidRPr="00C84A26">
        <w:rPr>
          <w:rFonts w:eastAsiaTheme="minorEastAsia"/>
        </w:rPr>
        <w:t>[2009]2</w:t>
      </w:r>
      <w:r w:rsidRPr="00C84A26">
        <w:rPr>
          <w:rFonts w:eastAsiaTheme="minorEastAsia" w:hAnsiTheme="minorEastAsia"/>
        </w:rPr>
        <w:t>号）的有关规定，进一步加大经费投入力度，加快预算执行进度，推进农村义务教育经费科学化、精细化管理，确保各级农村义务教育经费保障机制改革资金分担和管理责任落实到位。坚决执行城市义务教育阶段免学杂费政策，保证相关经费及时足额拨付到位。同时，要按照《国务院关于建立健全普通本科高校高等职业学校和中等职业学校家庭经济困难学生资助政策体系的意见》（国发</w:t>
      </w:r>
      <w:r w:rsidRPr="00C84A26">
        <w:rPr>
          <w:rFonts w:eastAsiaTheme="minorEastAsia"/>
        </w:rPr>
        <w:t>[2007]13</w:t>
      </w:r>
      <w:r w:rsidRPr="00C84A26">
        <w:rPr>
          <w:rFonts w:eastAsiaTheme="minorEastAsia" w:hAnsiTheme="minorEastAsia"/>
        </w:rPr>
        <w:t>号）和《关于中等职业学校农村家庭经济困难学生和涉农</w:t>
      </w:r>
      <w:r w:rsidRPr="00C84A26">
        <w:rPr>
          <w:rFonts w:eastAsiaTheme="minorEastAsia" w:hAnsiTheme="minorEastAsia"/>
        </w:rPr>
        <w:lastRenderedPageBreak/>
        <w:t>专业学生免学费工作的意见》（财教</w:t>
      </w:r>
      <w:r w:rsidRPr="00C84A26">
        <w:rPr>
          <w:rFonts w:eastAsiaTheme="minorEastAsia"/>
        </w:rPr>
        <w:t>[2009]442</w:t>
      </w:r>
      <w:r w:rsidRPr="00C84A26">
        <w:rPr>
          <w:rFonts w:eastAsiaTheme="minorEastAsia" w:hAnsiTheme="minorEastAsia"/>
        </w:rPr>
        <w:t>号）的有关规定，继续完善国家奖学金和助学金制度，落实好中等职业学校相关免费政策，建立健全工作机制，制定合理的区域内资金分担管理办法和转移支付制度，确保各项资金及时发放和专款专用。</w:t>
      </w:r>
    </w:p>
    <w:p w:rsidR="00747DE8" w:rsidRPr="00C84A26" w:rsidRDefault="00747DE8" w:rsidP="00747DE8">
      <w:pPr>
        <w:spacing w:line="360" w:lineRule="exact"/>
        <w:rPr>
          <w:rFonts w:eastAsiaTheme="minorEastAsia"/>
          <w:b/>
        </w:rPr>
      </w:pPr>
      <w:bookmarkStart w:id="6" w:name="a9"/>
      <w:bookmarkEnd w:id="6"/>
      <w:r w:rsidRPr="00C84A26">
        <w:rPr>
          <w:rFonts w:eastAsiaTheme="minorEastAsia" w:hAnsiTheme="minorEastAsia"/>
        </w:rPr>
        <w:t xml:space="preserve">　　</w:t>
      </w:r>
      <w:r w:rsidRPr="00C84A26">
        <w:rPr>
          <w:rFonts w:eastAsiaTheme="minorEastAsia" w:hAnsiTheme="minorEastAsia"/>
          <w:b/>
        </w:rPr>
        <w:t>三、拓宽财政性教育经费筹资渠道，努力提高教育资金投入水平</w:t>
      </w:r>
    </w:p>
    <w:p w:rsidR="00747DE8" w:rsidRPr="00C84A26" w:rsidRDefault="00747DE8" w:rsidP="00747DE8">
      <w:pPr>
        <w:spacing w:line="360" w:lineRule="exact"/>
        <w:rPr>
          <w:rFonts w:eastAsiaTheme="minorEastAsia"/>
        </w:rPr>
      </w:pPr>
      <w:r w:rsidRPr="00C84A26">
        <w:rPr>
          <w:rFonts w:eastAsiaTheme="minorEastAsia" w:hAnsiTheme="minorEastAsia"/>
        </w:rPr>
        <w:t xml:space="preserve">　　各省、自治区、直辖市财政部门要充分利用现有政策渠道筹集教育资金。已开征地方教育附加的省份，要加强对该项基金的征收和使用管理，按规定及时足额征收，并确保资金专项用于发展教育事业。尚未开征地方教育附加的省份，若需要开征地方教育附加，应按照《教育法》的有关规定，根据本地区实际情况提出开征方案，由省、自治区、直辖市人民政府报财政部审批。同时，各地可以按照《国务院办公厅关于规范国有土地使用权出让收支管理的通知》（国办发</w:t>
      </w:r>
      <w:r w:rsidRPr="00C84A26">
        <w:rPr>
          <w:rFonts w:eastAsiaTheme="minorEastAsia"/>
        </w:rPr>
        <w:t>[2006]100</w:t>
      </w:r>
      <w:r w:rsidRPr="00C84A26">
        <w:rPr>
          <w:rFonts w:eastAsiaTheme="minorEastAsia" w:hAnsiTheme="minorEastAsia"/>
        </w:rPr>
        <w:t>号）的有关规定，根据本地区实际情况，将土地出让收入安排用于农村中小学校舍维修改造等教育基础设施建设。各级财政部门要切实提高彩票公益金使用效率，继续将彩票公益金用于青少年校外活动场所建设、教育助学等方面。</w:t>
      </w:r>
    </w:p>
    <w:p w:rsidR="00747DE8" w:rsidRPr="00C84A26" w:rsidRDefault="00747DE8" w:rsidP="00747DE8">
      <w:pPr>
        <w:spacing w:line="360" w:lineRule="exact"/>
        <w:rPr>
          <w:rFonts w:eastAsiaTheme="minorEastAsia"/>
          <w:b/>
        </w:rPr>
      </w:pPr>
      <w:bookmarkStart w:id="7" w:name="a11"/>
      <w:bookmarkEnd w:id="7"/>
      <w:r w:rsidRPr="00C84A26">
        <w:rPr>
          <w:rFonts w:eastAsiaTheme="minorEastAsia" w:hAnsiTheme="minorEastAsia"/>
        </w:rPr>
        <w:t xml:space="preserve">　　</w:t>
      </w:r>
      <w:r w:rsidRPr="00C84A26">
        <w:rPr>
          <w:rFonts w:eastAsiaTheme="minorEastAsia" w:hAnsiTheme="minorEastAsia"/>
          <w:b/>
        </w:rPr>
        <w:t>四、加强学校收费票据管理，规范学校收费票据使用行为</w:t>
      </w:r>
    </w:p>
    <w:p w:rsidR="00747DE8" w:rsidRPr="00C84A26" w:rsidRDefault="00747DE8" w:rsidP="00747DE8">
      <w:pPr>
        <w:spacing w:line="360" w:lineRule="exact"/>
        <w:rPr>
          <w:rFonts w:eastAsiaTheme="minorEastAsia"/>
        </w:rPr>
      </w:pPr>
      <w:r w:rsidRPr="00C84A26">
        <w:rPr>
          <w:rFonts w:eastAsiaTheme="minorEastAsia" w:hAnsiTheme="minorEastAsia"/>
        </w:rPr>
        <w:t xml:space="preserve">　　各省、自治区、直辖市财政部门要加强对学校收费票据使用行为的监督检查。中央直属各类学校收取行政事业性收费，应使用财政部统一印制的财政票据。地方管理的各类学校收取行政事业性收费，应使用所在地省、自治区、直辖市财政部门统一印制的财政票据。各级财政部门要督促各类学校建立和完善行政事业性收费票据登记制度，定期对学校行政事业性收费票据购领、使用、结存、销毁等情况进行检查。同时，要按照财政部印发的《行政事业单位资金往来结算票据使用管理暂行办法》（财综</w:t>
      </w:r>
      <w:r w:rsidRPr="00C84A26">
        <w:rPr>
          <w:rFonts w:eastAsiaTheme="minorEastAsia"/>
        </w:rPr>
        <w:t>[2010]1</w:t>
      </w:r>
      <w:r w:rsidRPr="00C84A26">
        <w:rPr>
          <w:rFonts w:eastAsiaTheme="minorEastAsia" w:hAnsiTheme="minorEastAsia"/>
        </w:rPr>
        <w:t>号）的有关规定，督促各类学校加强行政事业单位资金往来结算票据的购领、使用和核销管理，规范学校行政事业单位资金往来结算票据使用行为。行政事业单位资金往来结算票据只能用于学校代收费，不能用于收取服务性收费、行政事业性收费以及其他乱收费。严禁各类学校将行政事业性收费票据与行政事业单位资金往来结算票据或税务发票相互串用。</w:t>
      </w:r>
    </w:p>
    <w:p w:rsidR="00747DE8" w:rsidRPr="00C84A26" w:rsidRDefault="00747DE8" w:rsidP="00747DE8">
      <w:pPr>
        <w:spacing w:line="360" w:lineRule="exact"/>
        <w:rPr>
          <w:rFonts w:eastAsiaTheme="minorEastAsia"/>
          <w:b/>
        </w:rPr>
      </w:pPr>
      <w:bookmarkStart w:id="8" w:name="a13"/>
      <w:bookmarkEnd w:id="8"/>
      <w:r w:rsidRPr="00C84A26">
        <w:rPr>
          <w:rFonts w:eastAsiaTheme="minorEastAsia" w:hAnsiTheme="minorEastAsia"/>
        </w:rPr>
        <w:t xml:space="preserve">　　</w:t>
      </w:r>
      <w:r w:rsidRPr="00C84A26">
        <w:rPr>
          <w:rFonts w:eastAsiaTheme="minorEastAsia" w:hAnsiTheme="minorEastAsia"/>
          <w:b/>
        </w:rPr>
        <w:t>五、建立健全监督检查制度，加大查处教育收费违规行为的力度</w:t>
      </w:r>
    </w:p>
    <w:p w:rsidR="00747DE8" w:rsidRDefault="00747DE8" w:rsidP="00747DE8">
      <w:pPr>
        <w:spacing w:line="360" w:lineRule="exact"/>
        <w:ind w:firstLine="420"/>
        <w:rPr>
          <w:rFonts w:eastAsiaTheme="minorEastAsia" w:hAnsiTheme="minorEastAsia"/>
        </w:rPr>
      </w:pPr>
      <w:r w:rsidRPr="00C84A26">
        <w:rPr>
          <w:rFonts w:eastAsiaTheme="minorEastAsia" w:hAnsiTheme="minorEastAsia"/>
        </w:rPr>
        <w:t>各级财政部门要加强组织领导，落实工作责任，进一步完善工作机制。要建立和完善教育收费投诉电话和举报制度，对于群众举报和反映的教育乱收费问题要认真对待、及时查处。要加强宣传工作，积极回应群众和社会对教育收费问题的关注。要继续开展教育收费监督检查工作，坚持经常性检查和专项检查相结合，切实把治理教育乱收费的各项政策措施落实到位。对于违反规定乱收费、不按规定使用财政票据、不按规定实行</w:t>
      </w:r>
      <w:r w:rsidRPr="00C84A26">
        <w:rPr>
          <w:rFonts w:eastAsiaTheme="minorEastAsia"/>
        </w:rPr>
        <w:t>“</w:t>
      </w:r>
      <w:r w:rsidRPr="00C84A26">
        <w:rPr>
          <w:rFonts w:eastAsiaTheme="minorEastAsia" w:hAnsiTheme="minorEastAsia"/>
        </w:rPr>
        <w:t>收支两条线</w:t>
      </w:r>
      <w:r w:rsidRPr="00C84A26">
        <w:rPr>
          <w:rFonts w:eastAsiaTheme="minorEastAsia"/>
        </w:rPr>
        <w:t>”</w:t>
      </w:r>
      <w:r w:rsidRPr="00C84A26">
        <w:rPr>
          <w:rFonts w:eastAsiaTheme="minorEastAsia" w:hAnsiTheme="minorEastAsia"/>
        </w:rPr>
        <w:t>管理，以及截留、挤占、挪用学校收费资金的行为，要严格按照《财政违法行为处罚处分条例》（国务院令第</w:t>
      </w:r>
      <w:r w:rsidRPr="00C84A26">
        <w:rPr>
          <w:rFonts w:eastAsiaTheme="minorEastAsia"/>
        </w:rPr>
        <w:t>427</w:t>
      </w:r>
      <w:r w:rsidRPr="00C84A26">
        <w:rPr>
          <w:rFonts w:eastAsiaTheme="minorEastAsia" w:hAnsiTheme="minorEastAsia"/>
        </w:rPr>
        <w:t>号）等有关规定进行处理。</w:t>
      </w:r>
    </w:p>
    <w:p w:rsidR="00747DE8" w:rsidRPr="00C84A26" w:rsidRDefault="00747DE8" w:rsidP="00747DE8">
      <w:pPr>
        <w:spacing w:line="360" w:lineRule="exact"/>
        <w:ind w:firstLine="420"/>
        <w:rPr>
          <w:rFonts w:eastAsiaTheme="minorEastAsia"/>
        </w:rPr>
      </w:pPr>
    </w:p>
    <w:p w:rsidR="00747DE8" w:rsidRPr="00C84A26" w:rsidRDefault="00747DE8" w:rsidP="00747DE8">
      <w:pPr>
        <w:spacing w:line="360" w:lineRule="exact"/>
        <w:rPr>
          <w:rFonts w:eastAsiaTheme="minorEastAsia"/>
        </w:rPr>
      </w:pPr>
      <w:r w:rsidRPr="00C84A26">
        <w:rPr>
          <w:rFonts w:eastAsiaTheme="minorEastAsia" w:hAnsiTheme="minorEastAsia"/>
        </w:rPr>
        <w:t xml:space="preserve">　</w:t>
      </w:r>
      <w:r w:rsidRPr="00C84A26">
        <w:rPr>
          <w:rFonts w:eastAsiaTheme="minorEastAsia"/>
        </w:rPr>
        <w:t xml:space="preserve"> </w:t>
      </w:r>
      <w:r w:rsidRPr="00C84A26">
        <w:rPr>
          <w:rFonts w:eastAsiaTheme="minorEastAsia" w:hAnsiTheme="minorEastAsia"/>
        </w:rPr>
        <w:t xml:space="preserve">　</w:t>
      </w:r>
      <w:r>
        <w:rPr>
          <w:rFonts w:eastAsiaTheme="minorEastAsia" w:hAnsiTheme="minorEastAsia" w:hint="eastAsia"/>
        </w:rPr>
        <w:t xml:space="preserve">                                 </w:t>
      </w:r>
      <w:r w:rsidRPr="00C84A26">
        <w:rPr>
          <w:rFonts w:eastAsiaTheme="minorEastAsia" w:hAnsiTheme="minorEastAsia"/>
        </w:rPr>
        <w:t xml:space="preserve">　　　　　　</w:t>
      </w:r>
      <w:r w:rsidRPr="00C84A26">
        <w:rPr>
          <w:rFonts w:eastAsiaTheme="minorEastAsia"/>
        </w:rPr>
        <w:t xml:space="preserve">  </w:t>
      </w:r>
      <w:r w:rsidRPr="00C84A26">
        <w:rPr>
          <w:rFonts w:eastAsiaTheme="minorEastAsia" w:hAnsiTheme="minorEastAsia"/>
        </w:rPr>
        <w:t xml:space="preserve">　　　</w:t>
      </w:r>
      <w:r w:rsidRPr="00C84A26">
        <w:rPr>
          <w:rFonts w:eastAsiaTheme="minorEastAsia"/>
        </w:rPr>
        <w:t xml:space="preserve">  </w:t>
      </w:r>
      <w:r w:rsidRPr="00C84A26">
        <w:rPr>
          <w:rFonts w:eastAsiaTheme="minorEastAsia" w:hAnsiTheme="minorEastAsia"/>
        </w:rPr>
        <w:t>财政部</w:t>
      </w:r>
      <w:r w:rsidRPr="00C84A26">
        <w:rPr>
          <w:rFonts w:eastAsiaTheme="minorEastAsia"/>
        </w:rPr>
        <w:t xml:space="preserve"> </w:t>
      </w:r>
    </w:p>
    <w:p w:rsidR="00747DE8" w:rsidRPr="00B03B08" w:rsidRDefault="00747DE8" w:rsidP="00747DE8">
      <w:pPr>
        <w:spacing w:line="360" w:lineRule="exact"/>
        <w:ind w:firstLineChars="1250" w:firstLine="2625"/>
        <w:sectPr w:rsidR="00747DE8" w:rsidRPr="00B03B08" w:rsidSect="00C84A26">
          <w:pgSz w:w="11906" w:h="16838"/>
          <w:pgMar w:top="1440" w:right="1588" w:bottom="1440" w:left="1588" w:header="851" w:footer="992" w:gutter="0"/>
          <w:cols w:space="425"/>
          <w:docGrid w:type="lines" w:linePitch="312"/>
        </w:sectPr>
      </w:pPr>
      <w:r w:rsidRPr="00C84A26">
        <w:rPr>
          <w:rFonts w:eastAsiaTheme="minorEastAsia" w:hAnsiTheme="minorEastAsia"/>
        </w:rPr>
        <w:t xml:space="preserve">　　　　　　　　　　</w:t>
      </w:r>
      <w:r w:rsidRPr="00C84A26">
        <w:rPr>
          <w:rFonts w:eastAsiaTheme="minorEastAsia"/>
        </w:rPr>
        <w:t xml:space="preserve">  </w:t>
      </w:r>
      <w:r w:rsidRPr="00C84A26">
        <w:rPr>
          <w:rFonts w:eastAsiaTheme="minorEastAsia" w:hAnsiTheme="minorEastAsia"/>
        </w:rPr>
        <w:t xml:space="preserve">　　　</w:t>
      </w:r>
      <w:r w:rsidRPr="00C84A26">
        <w:rPr>
          <w:rFonts w:eastAsiaTheme="minorEastAsia"/>
        </w:rPr>
        <w:t xml:space="preserve"> </w:t>
      </w:r>
      <w:r w:rsidRPr="00C84A26">
        <w:rPr>
          <w:rFonts w:eastAsiaTheme="minorEastAsia" w:hAnsiTheme="minorEastAsia"/>
        </w:rPr>
        <w:t>二</w:t>
      </w:r>
      <w:r>
        <w:rPr>
          <w:rFonts w:eastAsiaTheme="minorEastAsia" w:hint="eastAsia"/>
        </w:rPr>
        <w:t>○</w:t>
      </w:r>
      <w:r w:rsidRPr="00C84A26">
        <w:rPr>
          <w:rFonts w:eastAsiaTheme="minorEastAsia" w:hAnsiTheme="minorEastAsia"/>
        </w:rPr>
        <w:t>一</w:t>
      </w:r>
      <w:r>
        <w:rPr>
          <w:rFonts w:eastAsiaTheme="minorEastAsia" w:hint="eastAsia"/>
        </w:rPr>
        <w:t>○</w:t>
      </w:r>
      <w:r w:rsidRPr="00C84A26">
        <w:rPr>
          <w:rFonts w:eastAsiaTheme="minorEastAsia" w:hAnsiTheme="minorEastAsia"/>
        </w:rPr>
        <w:t>年</w:t>
      </w:r>
      <w:smartTag w:uri="urn:schemas-microsoft-com:office:smarttags" w:element="chsdate">
        <w:smartTagPr>
          <w:attr w:name="Year" w:val="2016"/>
          <w:attr w:name="Month" w:val="5"/>
          <w:attr w:name="Day" w:val="18"/>
          <w:attr w:name="IsLunarDate" w:val="False"/>
          <w:attr w:name="IsROCDate" w:val="False"/>
        </w:smartTagPr>
        <w:r w:rsidRPr="00C84A26">
          <w:rPr>
            <w:rFonts w:eastAsiaTheme="minorEastAsia" w:hAnsiTheme="minorEastAsia"/>
          </w:rPr>
          <w:t>五月十八日</w:t>
        </w:r>
      </w:smartTag>
    </w:p>
    <w:p w:rsidR="00047E9F" w:rsidRPr="00747DE8" w:rsidRDefault="00047E9F"/>
    <w:sectPr w:rsidR="00047E9F" w:rsidRPr="00747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DE8"/>
    <w:rsid w:val="00047E9F"/>
    <w:rsid w:val="006A1526"/>
    <w:rsid w:val="00747DE8"/>
    <w:rsid w:val="007B672B"/>
    <w:rsid w:val="00D15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DE8"/>
    <w:pPr>
      <w:widowControl w:val="0"/>
      <w:jc w:val="both"/>
    </w:pPr>
    <w:rPr>
      <w:rFonts w:ascii="Times New Roman" w:eastAsia="宋体" w:hAnsi="Times New Roman" w:cs="Times New Roman"/>
      <w:szCs w:val="24"/>
    </w:rPr>
  </w:style>
  <w:style w:type="paragraph" w:styleId="2">
    <w:name w:val="heading 2"/>
    <w:basedOn w:val="a"/>
    <w:next w:val="a"/>
    <w:link w:val="2Char"/>
    <w:qFormat/>
    <w:rsid w:val="00747DE8"/>
    <w:pPr>
      <w:spacing w:beforeLines="100" w:afterLines="50" w:line="360" w:lineRule="auto"/>
      <w:jc w:val="center"/>
      <w:outlineLvl w:val="1"/>
    </w:pPr>
    <w:rPr>
      <w:rFonts w:eastAsia="方正小标宋简体" w:hAnsi="宋体"/>
      <w:noProof/>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47DE8"/>
    <w:rPr>
      <w:rFonts w:ascii="Times New Roman" w:eastAsia="方正小标宋简体" w:hAnsi="宋体" w:cs="Times New Roman"/>
      <w:noProof/>
      <w:sz w:val="3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DE8"/>
    <w:pPr>
      <w:widowControl w:val="0"/>
      <w:jc w:val="both"/>
    </w:pPr>
    <w:rPr>
      <w:rFonts w:ascii="Times New Roman" w:eastAsia="宋体" w:hAnsi="Times New Roman" w:cs="Times New Roman"/>
      <w:szCs w:val="24"/>
    </w:rPr>
  </w:style>
  <w:style w:type="paragraph" w:styleId="2">
    <w:name w:val="heading 2"/>
    <w:basedOn w:val="a"/>
    <w:next w:val="a"/>
    <w:link w:val="2Char"/>
    <w:qFormat/>
    <w:rsid w:val="00747DE8"/>
    <w:pPr>
      <w:spacing w:beforeLines="100" w:afterLines="50" w:line="360" w:lineRule="auto"/>
      <w:jc w:val="center"/>
      <w:outlineLvl w:val="1"/>
    </w:pPr>
    <w:rPr>
      <w:rFonts w:eastAsia="方正小标宋简体" w:hAnsi="宋体"/>
      <w:noProof/>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47DE8"/>
    <w:rPr>
      <w:rFonts w:ascii="Times New Roman" w:eastAsia="方正小标宋简体" w:hAnsi="宋体" w:cs="Times New Roman"/>
      <w:noProof/>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2184</Characters>
  <Application>Microsoft Office Word</Application>
  <DocSecurity>0</DocSecurity>
  <Lines>18</Lines>
  <Paragraphs>5</Paragraphs>
  <ScaleCrop>false</ScaleCrop>
  <Company>Microsoft</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2016-11-07T08:55:00Z</dcterms:created>
  <dcterms:modified xsi:type="dcterms:W3CDTF">2016-11-07T08:55:00Z</dcterms:modified>
</cp:coreProperties>
</file>