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asciiTheme="minorEastAsia" w:hAnsiTheme="minorEastAsia" w:eastAsiaTheme="minorEastAsia" w:cstheme="minorEastAsia"/>
          <w:szCs w:val="28"/>
        </w:rPr>
      </w:pPr>
    </w:p>
    <w:p>
      <w:pPr>
        <w:ind w:firstLine="687" w:firstLineChars="228"/>
        <w:jc w:val="center"/>
        <w:rPr>
          <w:rFonts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rPr>
        <w:t>暨南大学科研经费放管服政策导读</w:t>
      </w:r>
    </w:p>
    <w:sdt>
      <w:sdtPr>
        <w:rPr>
          <w:rFonts w:eastAsia="宋体" w:asciiTheme="minorHAnsi" w:hAnsiTheme="minorHAnsi" w:cstheme="minorBidi"/>
          <w:b w:val="0"/>
          <w:bCs w:val="0"/>
          <w:color w:val="auto"/>
          <w:kern w:val="2"/>
          <w:szCs w:val="24"/>
          <w:lang w:val="zh-CN"/>
        </w:rPr>
        <w:id w:val="121305973"/>
        <w:docPartObj>
          <w:docPartGallery w:val="Table of Contents"/>
          <w:docPartUnique/>
        </w:docPartObj>
      </w:sdtPr>
      <w:sdtEndPr>
        <w:rPr>
          <w:rFonts w:eastAsia="宋体" w:asciiTheme="minorHAnsi" w:hAnsiTheme="minorHAnsi" w:cstheme="minorBidi"/>
          <w:b w:val="0"/>
          <w:bCs w:val="0"/>
          <w:color w:val="auto"/>
          <w:kern w:val="2"/>
          <w:szCs w:val="24"/>
          <w:lang w:val="en-US"/>
        </w:rPr>
      </w:sdtEndPr>
      <w:sdtContent>
        <w:p>
          <w:pPr>
            <w:pStyle w:val="19"/>
            <w:spacing w:before="156" w:beforeLines="50" w:after="156" w:afterLines="50" w:line="240" w:lineRule="auto"/>
            <w:ind w:firstLine="561"/>
            <w:jc w:val="center"/>
            <w:rPr>
              <w:rFonts w:hint="eastAsia"/>
            </w:rPr>
          </w:pPr>
          <w:r>
            <w:rPr>
              <w:rFonts w:hint="eastAsia" w:ascii="黑体" w:hAnsi="黑体" w:eastAsia="黑体" w:cs="黑体"/>
              <w:b w:val="0"/>
              <w:bCs w:val="0"/>
              <w:color w:val="000000" w:themeColor="text1"/>
              <w:sz w:val="30"/>
              <w:szCs w:val="30"/>
              <w:lang w:val="zh-CN"/>
            </w:rPr>
            <w:t>目</w:t>
          </w:r>
          <w:r>
            <w:rPr>
              <w:rFonts w:hint="eastAsia" w:ascii="黑体" w:hAnsi="黑体" w:eastAsia="黑体" w:cs="黑体"/>
              <w:b w:val="0"/>
              <w:bCs w:val="0"/>
              <w:color w:val="000000" w:themeColor="text1"/>
              <w:sz w:val="30"/>
              <w:szCs w:val="30"/>
            </w:rPr>
            <w:t xml:space="preserve">    </w:t>
          </w:r>
          <w:r>
            <w:rPr>
              <w:rFonts w:hint="eastAsia" w:ascii="黑体" w:hAnsi="黑体" w:eastAsia="黑体" w:cs="黑体"/>
              <w:b w:val="0"/>
              <w:bCs w:val="0"/>
              <w:color w:val="000000" w:themeColor="text1"/>
              <w:sz w:val="30"/>
              <w:szCs w:val="30"/>
              <w:lang w:val="zh-CN"/>
            </w:rPr>
            <w:t>录</w:t>
          </w:r>
          <w:r>
            <w:fldChar w:fldCharType="begin"/>
          </w:r>
          <w:r>
            <w:instrText xml:space="preserve"> TOC \o "1-3" \h \z \u </w:instrText>
          </w:r>
          <w:r>
            <w:fldChar w:fldCharType="separate"/>
          </w:r>
        </w:p>
        <w:p>
          <w:pPr>
            <w:pStyle w:val="10"/>
            <w:tabs>
              <w:tab w:val="right" w:leader="dot" w:pos="8296"/>
            </w:tabs>
            <w:ind w:left="0" w:leftChars="0" w:firstLine="0" w:firstLineChars="0"/>
          </w:pPr>
          <w:r>
            <w:fldChar w:fldCharType="begin"/>
          </w:r>
          <w:r>
            <w:instrText xml:space="preserve"> HYPERLINK \l "_Toc48062395" </w:instrText>
          </w:r>
          <w:r>
            <w:fldChar w:fldCharType="separate"/>
          </w:r>
          <w:r>
            <w:rPr>
              <w:rStyle w:val="15"/>
              <w:rFonts w:hint="eastAsia" w:ascii="宋体" w:hAnsi="宋体" w:cs="宋体"/>
              <w:sz w:val="30"/>
              <w:szCs w:val="30"/>
              <w:shd w:val="clear" w:color="auto" w:fill="FFFFFF"/>
            </w:rPr>
            <w:t>1.中央政策导读</w:t>
          </w:r>
          <w:r>
            <w:tab/>
          </w:r>
          <w:r>
            <w:rPr>
              <w:rFonts w:hint="eastAsia" w:ascii="宋体" w:hAnsi="宋体" w:cs="宋体"/>
              <w:szCs w:val="28"/>
            </w:rPr>
            <w:t>1</w:t>
          </w:r>
          <w:r>
            <w:rPr>
              <w:rFonts w:hint="eastAsia" w:ascii="宋体" w:hAnsi="宋体" w:cs="宋体"/>
              <w:szCs w:val="28"/>
            </w:rPr>
            <w:fldChar w:fldCharType="end"/>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"_Toc48062396" </w:instrText>
          </w:r>
          <w:r>
            <w:fldChar w:fldCharType="separate"/>
          </w:r>
          <w:r>
            <w:rPr>
              <w:rStyle w:val="15"/>
              <w:rFonts w:hint="eastAsia" w:ascii="宋体" w:hAnsi="宋体" w:cs="宋体"/>
              <w:szCs w:val="28"/>
              <w:shd w:val="clear" w:color="auto" w:fill="FFFFFF"/>
            </w:rPr>
            <w:t>1.1《关于进一步完善中央财政科研项目资金管理等政策的若意见》（中办发【2016】50号）</w:t>
          </w:r>
          <w:r>
            <w:rPr>
              <w:rFonts w:hint="eastAsia" w:ascii="宋体" w:hAnsi="宋体" w:cs="宋体"/>
              <w:szCs w:val="28"/>
            </w:rPr>
            <w:tab/>
          </w:r>
          <w:r>
            <w:rPr>
              <w:rFonts w:hint="eastAsia" w:ascii="宋体" w:hAnsi="宋体" w:cs="宋体"/>
              <w:szCs w:val="28"/>
            </w:rPr>
            <w:t>1</w:t>
          </w:r>
          <w:r>
            <w:rPr>
              <w:rFonts w:hint="eastAsia" w:ascii="宋体" w:hAnsi="宋体" w:cs="宋体"/>
              <w:szCs w:val="28"/>
            </w:rPr>
            <w:fldChar w:fldCharType="end"/>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"_Toc48062398" </w:instrText>
          </w:r>
          <w:r>
            <w:fldChar w:fldCharType="separate"/>
          </w:r>
          <w:r>
            <w:rPr>
              <w:rStyle w:val="15"/>
              <w:rFonts w:hint="eastAsia" w:ascii="宋体" w:hAnsi="宋体" w:cs="宋体"/>
              <w:szCs w:val="28"/>
            </w:rPr>
            <w:t>1.2《国务院关于优化科研</w:t>
          </w:r>
          <w:r>
            <w:rPr>
              <w:rStyle w:val="15"/>
              <w:rFonts w:hint="eastAsia" w:ascii="宋体" w:hAnsi="宋体" w:cs="宋体"/>
              <w:szCs w:val="28"/>
              <w:shd w:val="clear" w:color="auto" w:fill="FFFFFF"/>
            </w:rPr>
            <w:t>管理</w:t>
          </w:r>
          <w:r>
            <w:rPr>
              <w:rStyle w:val="15"/>
              <w:rFonts w:hint="eastAsia" w:ascii="宋体" w:hAnsi="宋体" w:cs="宋体"/>
              <w:szCs w:val="28"/>
            </w:rPr>
            <w:t>提升科研绩效若干措施的通知》（国发【2018】25号）</w:t>
          </w:r>
          <w:r>
            <w:rPr>
              <w:rFonts w:hint="eastAsia" w:ascii="宋体" w:hAnsi="宋体" w:cs="宋体"/>
              <w:szCs w:val="28"/>
            </w:rPr>
            <w:tab/>
          </w:r>
          <w:r>
            <w:rPr>
              <w:rFonts w:hint="eastAsia" w:ascii="宋体" w:hAnsi="宋体" w:cs="宋体"/>
              <w:szCs w:val="28"/>
            </w:rPr>
            <w:t>2</w:t>
          </w:r>
          <w:r>
            <w:rPr>
              <w:rFonts w:hint="eastAsia" w:ascii="宋体" w:hAnsi="宋体" w:cs="宋体"/>
              <w:szCs w:val="28"/>
            </w:rPr>
            <w:fldChar w:fldCharType="end"/>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"_Toc48062407" </w:instrText>
          </w:r>
          <w:r>
            <w:fldChar w:fldCharType="separate"/>
          </w:r>
          <w:r>
            <w:rPr>
              <w:rStyle w:val="15"/>
              <w:rFonts w:hint="eastAsia" w:ascii="宋体" w:hAnsi="宋体" w:cs="宋体"/>
              <w:szCs w:val="28"/>
            </w:rPr>
            <w:t>1.3《国务院办公厅关于抓好赋予科研机构和人员更大自主权有关文件贯彻落实工作的通知》（国办发【2018】127号）</w:t>
          </w:r>
          <w:r>
            <w:rPr>
              <w:rFonts w:hint="eastAsia" w:ascii="宋体" w:hAnsi="宋体" w:cs="宋体"/>
              <w:szCs w:val="28"/>
            </w:rPr>
            <w:tab/>
          </w:r>
          <w:r>
            <w:rPr>
              <w:rFonts w:hint="eastAsia" w:ascii="宋体" w:hAnsi="宋体" w:cs="宋体"/>
              <w:szCs w:val="28"/>
            </w:rPr>
            <w:t>4</w:t>
          </w:r>
          <w:r>
            <w:rPr>
              <w:rFonts w:hint="eastAsia" w:ascii="宋体" w:hAnsi="宋体" w:cs="宋体"/>
              <w:szCs w:val="28"/>
            </w:rPr>
            <w:fldChar w:fldCharType="end"/>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"_Toc48062416" </w:instrText>
          </w:r>
          <w:r>
            <w:fldChar w:fldCharType="separate"/>
          </w:r>
          <w:r>
            <w:rPr>
              <w:rStyle w:val="15"/>
              <w:rFonts w:hint="eastAsia" w:ascii="宋体" w:hAnsi="宋体" w:cs="宋体"/>
              <w:szCs w:val="28"/>
              <w:shd w:val="clear" w:color="auto" w:fill="FFFFFF"/>
            </w:rPr>
            <w:t>1.4《教育部办公厅关于进一步落实优化科研管理提升科研绩效若干措施的通知》（教技厅【2018】5号）</w:t>
          </w:r>
          <w:r>
            <w:rPr>
              <w:rFonts w:hint="eastAsia" w:ascii="宋体" w:hAnsi="宋体" w:cs="宋体"/>
              <w:szCs w:val="28"/>
            </w:rPr>
            <w:tab/>
          </w:r>
          <w:r>
            <w:rPr>
              <w:rFonts w:hint="eastAsia" w:ascii="宋体" w:hAnsi="宋体" w:cs="宋体"/>
              <w:szCs w:val="28"/>
            </w:rPr>
            <w:t>5</w:t>
          </w:r>
          <w:r>
            <w:rPr>
              <w:rFonts w:hint="eastAsia" w:ascii="宋体" w:hAnsi="宋体" w:cs="宋体"/>
              <w:szCs w:val="28"/>
            </w:rPr>
            <w:fldChar w:fldCharType="end"/>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"_Toc48062422" </w:instrText>
          </w:r>
          <w:r>
            <w:fldChar w:fldCharType="separate"/>
          </w:r>
          <w:r>
            <w:rPr>
              <w:rStyle w:val="15"/>
              <w:rFonts w:hint="eastAsia" w:ascii="宋体" w:hAnsi="宋体" w:cs="宋体"/>
              <w:szCs w:val="28"/>
              <w:shd w:val="clear" w:color="auto" w:fill="FFFFFF"/>
            </w:rPr>
            <w:t>1.5《中共教育部党组关于抓好赋予科研管理更大自主权有关文件贯彻落实工作的通知》（教党函【2019】37号）</w:t>
          </w:r>
          <w:r>
            <w:rPr>
              <w:rFonts w:hint="eastAsia" w:ascii="宋体" w:hAnsi="宋体" w:cs="宋体"/>
              <w:szCs w:val="28"/>
            </w:rPr>
            <w:tab/>
          </w:r>
          <w:r>
            <w:rPr>
              <w:rFonts w:hint="eastAsia" w:ascii="宋体" w:hAnsi="宋体" w:cs="宋体"/>
              <w:szCs w:val="28"/>
            </w:rPr>
            <w:t>5</w:t>
          </w:r>
          <w:r>
            <w:rPr>
              <w:rFonts w:hint="eastAsia" w:ascii="宋体" w:hAnsi="宋体" w:cs="宋体"/>
              <w:szCs w:val="28"/>
            </w:rPr>
            <w:fldChar w:fldCharType="end"/>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"_Toc48062428" </w:instrText>
          </w:r>
          <w:r>
            <w:fldChar w:fldCharType="separate"/>
          </w:r>
          <w:r>
            <w:rPr>
              <w:rStyle w:val="15"/>
              <w:rFonts w:hint="eastAsia" w:ascii="宋体" w:hAnsi="宋体" w:cs="宋体"/>
              <w:szCs w:val="28"/>
            </w:rPr>
            <w:t>1.6 《科技部 财政部关于进一步优化国家重点研发计划项目和资金管理的通知》（国科发资【2019】45号）</w:t>
          </w:r>
          <w:r>
            <w:rPr>
              <w:rFonts w:hint="eastAsia" w:ascii="宋体" w:hAnsi="宋体" w:cs="宋体"/>
              <w:szCs w:val="28"/>
            </w:rPr>
            <w:tab/>
          </w:r>
          <w:r>
            <w:rPr>
              <w:rFonts w:hint="eastAsia" w:ascii="宋体" w:hAnsi="宋体" w:cs="宋体"/>
              <w:szCs w:val="28"/>
            </w:rPr>
            <w:t>6</w:t>
          </w:r>
          <w:r>
            <w:rPr>
              <w:rFonts w:hint="eastAsia" w:ascii="宋体" w:hAnsi="宋体" w:cs="宋体"/>
              <w:szCs w:val="28"/>
            </w:rPr>
            <w:fldChar w:fldCharType="end"/>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"_Toc48062437" </w:instrText>
          </w:r>
          <w:r>
            <w:fldChar w:fldCharType="separate"/>
          </w:r>
          <w:r>
            <w:rPr>
              <w:rStyle w:val="15"/>
              <w:rFonts w:hint="eastAsia" w:ascii="宋体" w:hAnsi="宋体" w:cs="宋体"/>
              <w:szCs w:val="28"/>
            </w:rPr>
            <w:t>1.7《国家自然科学基金委员会关于国家自然科学基金资助项目资金管理的补充通知》（国科金发财【2018】88号）</w:t>
          </w:r>
          <w:r>
            <w:rPr>
              <w:rFonts w:hint="eastAsia" w:ascii="宋体" w:hAnsi="宋体" w:cs="宋体"/>
              <w:szCs w:val="28"/>
            </w:rPr>
            <w:tab/>
          </w:r>
          <w:r>
            <w:rPr>
              <w:rFonts w:hint="eastAsia" w:ascii="宋体" w:hAnsi="宋体" w:cs="宋体"/>
              <w:szCs w:val="28"/>
            </w:rPr>
            <w:t>7</w:t>
          </w:r>
          <w:r>
            <w:rPr>
              <w:rFonts w:hint="eastAsia" w:ascii="宋体" w:hAnsi="宋体" w:cs="宋体"/>
              <w:szCs w:val="28"/>
            </w:rPr>
            <w:fldChar w:fldCharType="end"/>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"_Toc48062444" </w:instrText>
          </w:r>
          <w:r>
            <w:fldChar w:fldCharType="separate"/>
          </w:r>
          <w:r>
            <w:rPr>
              <w:rStyle w:val="15"/>
              <w:rFonts w:hint="eastAsia" w:ascii="宋体" w:hAnsi="宋体" w:cs="宋体"/>
              <w:szCs w:val="28"/>
            </w:rPr>
            <w:t>1.8《国家自然科学基金委员会关于进一步加强依托单位科学基金管理工作的若干意见》（国科金发计【2018】105号）</w:t>
          </w:r>
          <w:r>
            <w:rPr>
              <w:rFonts w:hint="eastAsia" w:ascii="宋体" w:hAnsi="宋体" w:cs="宋体"/>
              <w:szCs w:val="28"/>
            </w:rPr>
            <w:tab/>
          </w:r>
          <w:r>
            <w:rPr>
              <w:rFonts w:hint="eastAsia" w:ascii="宋体" w:hAnsi="宋体" w:cs="宋体"/>
              <w:szCs w:val="28"/>
            </w:rPr>
            <w:t>7</w:t>
          </w:r>
          <w:r>
            <w:rPr>
              <w:rFonts w:hint="eastAsia" w:ascii="宋体" w:hAnsi="宋体" w:cs="宋体"/>
              <w:szCs w:val="28"/>
            </w:rPr>
            <w:fldChar w:fldCharType="end"/>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"_Toc48062450" </w:instrText>
          </w:r>
          <w:r>
            <w:fldChar w:fldCharType="separate"/>
          </w:r>
          <w:r>
            <w:rPr>
              <w:rStyle w:val="15"/>
              <w:rFonts w:hint="eastAsia" w:ascii="宋体" w:hAnsi="宋体" w:cs="宋体"/>
              <w:szCs w:val="28"/>
            </w:rPr>
            <w:t>1.9科技部 发展改革委 财政部关于印发《进一步深化管理改革激发创新活力确保完成国家科技重大专项既定目标的十项措施》（国科发重【2018】315号）</w:t>
          </w:r>
          <w:r>
            <w:rPr>
              <w:rFonts w:hint="eastAsia" w:ascii="宋体" w:hAnsi="宋体" w:cs="宋体"/>
              <w:szCs w:val="28"/>
            </w:rPr>
            <w:tab/>
          </w:r>
          <w:r>
            <w:rPr>
              <w:rFonts w:hint="eastAsia" w:ascii="宋体" w:hAnsi="宋体" w:cs="宋体"/>
              <w:szCs w:val="28"/>
            </w:rPr>
            <w:t>8</w:t>
          </w:r>
          <w:r>
            <w:rPr>
              <w:rFonts w:hint="eastAsia" w:ascii="宋体" w:hAnsi="宋体" w:cs="宋体"/>
              <w:szCs w:val="28"/>
            </w:rPr>
            <w:fldChar w:fldCharType="end"/>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"_Toc48062458" </w:instrText>
          </w:r>
          <w:r>
            <w:fldChar w:fldCharType="separate"/>
          </w:r>
          <w:r>
            <w:rPr>
              <w:rStyle w:val="15"/>
              <w:rFonts w:hint="eastAsia" w:ascii="宋体" w:hAnsi="宋体" w:cs="宋体"/>
              <w:szCs w:val="28"/>
            </w:rPr>
            <w:t>1.10《关于进一步完善科学基金项目和资金管理的通知》（国科金发财【2019】31号）</w:t>
          </w:r>
          <w:r>
            <w:rPr>
              <w:rFonts w:hint="eastAsia" w:ascii="宋体" w:hAnsi="宋体" w:cs="宋体"/>
              <w:szCs w:val="28"/>
            </w:rPr>
            <w:tab/>
          </w:r>
          <w:r>
            <w:rPr>
              <w:rFonts w:hint="eastAsia" w:ascii="宋体" w:hAnsi="宋体" w:cs="宋体"/>
              <w:szCs w:val="28"/>
            </w:rPr>
            <w:t>9</w:t>
          </w:r>
          <w:r>
            <w:rPr>
              <w:rFonts w:hint="eastAsia" w:ascii="宋体" w:hAnsi="宋体" w:cs="宋体"/>
              <w:szCs w:val="28"/>
            </w:rPr>
            <w:fldChar w:fldCharType="end"/>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"_Toc48062466" </w:instrText>
          </w:r>
          <w:r>
            <w:fldChar w:fldCharType="separate"/>
          </w:r>
          <w:r>
            <w:rPr>
              <w:rStyle w:val="15"/>
              <w:rFonts w:hint="eastAsia" w:ascii="宋体" w:hAnsi="宋体" w:cs="宋体"/>
              <w:szCs w:val="28"/>
              <w:shd w:val="clear" w:color="auto" w:fill="FFFFFF"/>
            </w:rPr>
            <w:t>1.11《国家社会科学基金项目资金管理办法》（财教【2016】304号）</w:t>
          </w:r>
          <w:r>
            <w:rPr>
              <w:rFonts w:hint="eastAsia" w:ascii="宋体" w:hAnsi="宋体" w:cs="宋体"/>
              <w:szCs w:val="28"/>
            </w:rPr>
            <w:tab/>
          </w:r>
          <w:r>
            <w:rPr>
              <w:rFonts w:hint="eastAsia" w:ascii="宋体" w:hAnsi="宋体" w:cs="宋体"/>
              <w:szCs w:val="28"/>
            </w:rPr>
            <w:t>1</w:t>
          </w:r>
          <w:r>
            <w:rPr>
              <w:rFonts w:hint="eastAsia" w:ascii="宋体" w:hAnsi="宋体" w:cs="宋体"/>
              <w:szCs w:val="28"/>
            </w:rPr>
            <w:fldChar w:fldCharType="end"/>
          </w:r>
          <w:r>
            <w:rPr>
              <w:rFonts w:hint="eastAsia" w:ascii="宋体" w:hAnsi="宋体" w:cs="宋体"/>
              <w:szCs w:val="28"/>
            </w:rPr>
            <w:t>0</w:t>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"_Toc48062481" </w:instrText>
          </w:r>
          <w:r>
            <w:fldChar w:fldCharType="separate"/>
          </w:r>
          <w:r>
            <w:rPr>
              <w:rStyle w:val="15"/>
              <w:rFonts w:hint="eastAsia" w:ascii="宋体" w:hAnsi="宋体" w:cs="宋体"/>
              <w:szCs w:val="28"/>
              <w:shd w:val="clear" w:color="auto" w:fill="FFFFFF"/>
            </w:rPr>
            <w:t>1.12《全国哲学社会科学工作领导小组财政部关于进一步完善国家社会科学基金项目管理的有关规定》（社科工作领字【2019】1号）</w:t>
          </w:r>
          <w:r>
            <w:rPr>
              <w:rFonts w:hint="eastAsia" w:ascii="宋体" w:hAnsi="宋体" w:cs="宋体"/>
              <w:szCs w:val="28"/>
            </w:rPr>
            <w:tab/>
          </w:r>
          <w:r>
            <w:rPr>
              <w:rFonts w:hint="eastAsia" w:ascii="宋体" w:hAnsi="宋体" w:cs="宋体"/>
              <w:szCs w:val="28"/>
            </w:rPr>
            <w:t>1</w:t>
          </w:r>
          <w:r>
            <w:rPr>
              <w:rFonts w:hint="eastAsia" w:ascii="宋体" w:hAnsi="宋体" w:cs="宋体"/>
              <w:szCs w:val="28"/>
            </w:rPr>
            <w:fldChar w:fldCharType="end"/>
          </w:r>
          <w:r>
            <w:rPr>
              <w:rFonts w:hint="eastAsia" w:ascii="宋体" w:hAnsi="宋体" w:cs="宋体"/>
              <w:szCs w:val="28"/>
            </w:rPr>
            <w:t>2</w:t>
          </w:r>
        </w:p>
        <w:p>
          <w:pPr>
            <w:pStyle w:val="9"/>
            <w:tabs>
              <w:tab w:val="right" w:leader="dot" w:pos="8296"/>
            </w:tabs>
            <w:ind w:firstLine="0" w:firstLineChars="0"/>
            <w:rPr>
              <w:rFonts w:ascii="宋体" w:hAnsi="宋体" w:cs="宋体"/>
              <w:szCs w:val="28"/>
            </w:rPr>
          </w:pPr>
          <w:r>
            <w:fldChar w:fldCharType="begin"/>
          </w:r>
          <w:r>
            <w:instrText xml:space="preserve"> HYPERLINK \l "_Toc48062486" </w:instrText>
          </w:r>
          <w:r>
            <w:fldChar w:fldCharType="separate"/>
          </w:r>
          <w:r>
            <w:rPr>
              <w:rStyle w:val="15"/>
              <w:rFonts w:hint="eastAsia" w:ascii="宋体" w:hAnsi="宋体" w:cs="宋体"/>
              <w:sz w:val="30"/>
              <w:szCs w:val="30"/>
            </w:rPr>
            <w:t>2.省市政策</w:t>
          </w:r>
          <w:r>
            <w:rPr>
              <w:rFonts w:hint="eastAsia" w:ascii="宋体" w:hAnsi="宋体" w:cs="宋体"/>
              <w:szCs w:val="28"/>
            </w:rPr>
            <w:tab/>
          </w:r>
          <w:r>
            <w:rPr>
              <w:rFonts w:hint="eastAsia" w:ascii="宋体" w:hAnsi="宋体" w:cs="宋体"/>
              <w:szCs w:val="28"/>
            </w:rPr>
            <w:t>1</w:t>
          </w:r>
          <w:r>
            <w:rPr>
              <w:rFonts w:hint="eastAsia" w:ascii="宋体" w:hAnsi="宋体" w:cs="宋体"/>
              <w:szCs w:val="28"/>
            </w:rPr>
            <w:fldChar w:fldCharType="end"/>
          </w:r>
          <w:r>
            <w:rPr>
              <w:rFonts w:hint="eastAsia" w:ascii="宋体" w:hAnsi="宋体" w:cs="宋体"/>
              <w:szCs w:val="28"/>
            </w:rPr>
            <w:t>2</w:t>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"_Toc48062487" </w:instrText>
          </w:r>
          <w:r>
            <w:fldChar w:fldCharType="separate"/>
          </w:r>
          <w:r>
            <w:rPr>
              <w:rStyle w:val="15"/>
              <w:rFonts w:hint="eastAsia" w:ascii="宋体" w:hAnsi="宋体" w:cs="宋体"/>
              <w:szCs w:val="28"/>
              <w:shd w:val="clear" w:color="auto" w:fill="FFFFFF"/>
            </w:rPr>
            <w:t>2.1《中共广东省</w:t>
          </w:r>
          <w:bookmarkStart w:id="113" w:name="_GoBack"/>
          <w:bookmarkEnd w:id="113"/>
          <w:r>
            <w:rPr>
              <w:rStyle w:val="15"/>
              <w:rFonts w:hint="eastAsia" w:ascii="宋体" w:hAnsi="宋体" w:cs="宋体"/>
              <w:szCs w:val="28"/>
              <w:shd w:val="clear" w:color="auto" w:fill="FFFFFF"/>
            </w:rPr>
            <w:t>委办公厅 广东省人民政府办公厅关于进一步完善省级财政科研项目资金管理等政策的实施意见（试行）的通知》（粤委办【2017】13号）</w:t>
          </w:r>
          <w:r>
            <w:rPr>
              <w:rFonts w:hint="eastAsia" w:ascii="宋体" w:hAnsi="宋体" w:cs="宋体"/>
              <w:szCs w:val="28"/>
            </w:rPr>
            <w:tab/>
          </w:r>
          <w:r>
            <w:rPr>
              <w:rFonts w:hint="eastAsia" w:ascii="宋体" w:hAnsi="宋体" w:cs="宋体"/>
              <w:szCs w:val="28"/>
            </w:rPr>
            <w:t>1</w:t>
          </w:r>
          <w:r>
            <w:rPr>
              <w:rFonts w:hint="eastAsia" w:ascii="宋体" w:hAnsi="宋体" w:cs="宋体"/>
              <w:szCs w:val="28"/>
            </w:rPr>
            <w:fldChar w:fldCharType="end"/>
          </w:r>
          <w:r>
            <w:rPr>
              <w:rFonts w:hint="eastAsia" w:ascii="宋体" w:hAnsi="宋体" w:cs="宋体"/>
              <w:szCs w:val="28"/>
            </w:rPr>
            <w:t>2</w:t>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"_Toc48062488" </w:instrText>
          </w:r>
          <w:r>
            <w:fldChar w:fldCharType="separate"/>
          </w:r>
          <w:r>
            <w:rPr>
              <w:rStyle w:val="15"/>
              <w:rFonts w:hint="eastAsia" w:ascii="宋体" w:hAnsi="宋体" w:cs="宋体"/>
              <w:szCs w:val="28"/>
              <w:shd w:val="clear" w:color="auto" w:fill="FFFFFF"/>
            </w:rPr>
            <w:t>2.2《广东省财政厅关于优化财政科研资金管理提升科研资金绩效的通知》（粤财教【2018】394号）</w:t>
          </w:r>
          <w:r>
            <w:rPr>
              <w:rFonts w:hint="eastAsia" w:ascii="宋体" w:hAnsi="宋体" w:cs="宋体"/>
              <w:szCs w:val="28"/>
            </w:rPr>
            <w:tab/>
          </w:r>
          <w:r>
            <w:rPr>
              <w:rFonts w:hint="eastAsia" w:ascii="宋体" w:hAnsi="宋体" w:cs="宋体"/>
              <w:szCs w:val="28"/>
            </w:rPr>
            <w:t>1</w:t>
          </w:r>
          <w:r>
            <w:rPr>
              <w:rFonts w:hint="eastAsia" w:ascii="宋体" w:hAnsi="宋体" w:cs="宋体"/>
              <w:szCs w:val="28"/>
            </w:rPr>
            <w:fldChar w:fldCharType="end"/>
          </w:r>
          <w:r>
            <w:rPr>
              <w:rFonts w:hint="eastAsia" w:ascii="宋体" w:hAnsi="宋体" w:cs="宋体"/>
              <w:szCs w:val="28"/>
            </w:rPr>
            <w:t>3</w:t>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"_Toc48062489" </w:instrText>
          </w:r>
          <w:r>
            <w:fldChar w:fldCharType="separate"/>
          </w:r>
          <w:r>
            <w:rPr>
              <w:rStyle w:val="15"/>
              <w:rFonts w:hint="eastAsia" w:ascii="宋体" w:hAnsi="宋体" w:cs="宋体"/>
              <w:szCs w:val="28"/>
              <w:shd w:val="clear" w:color="auto" w:fill="FFFFFF"/>
            </w:rPr>
            <w:t>2.3《广东省人民政府印发关于进一步促进科技创新若干政策措施的通知》（粤府【2019】1号）</w:t>
          </w:r>
          <w:r>
            <w:rPr>
              <w:rFonts w:hint="eastAsia" w:ascii="宋体" w:hAnsi="宋体" w:cs="宋体"/>
              <w:szCs w:val="28"/>
            </w:rPr>
            <w:tab/>
          </w:r>
          <w:r>
            <w:rPr>
              <w:rFonts w:hint="eastAsia" w:ascii="宋体" w:hAnsi="宋体" w:cs="宋体"/>
              <w:szCs w:val="28"/>
            </w:rPr>
            <w:t>1</w:t>
          </w:r>
          <w:r>
            <w:rPr>
              <w:rFonts w:hint="eastAsia" w:ascii="宋体" w:hAnsi="宋体" w:cs="宋体"/>
              <w:szCs w:val="28"/>
            </w:rPr>
            <w:fldChar w:fldCharType="end"/>
          </w:r>
          <w:r>
            <w:rPr>
              <w:rFonts w:hint="eastAsia" w:ascii="宋体" w:hAnsi="宋体" w:cs="宋体"/>
              <w:szCs w:val="28"/>
            </w:rPr>
            <w:t>4</w:t>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"_Toc48062490" </w:instrText>
          </w:r>
          <w:r>
            <w:fldChar w:fldCharType="separate"/>
          </w:r>
          <w:r>
            <w:rPr>
              <w:rStyle w:val="15"/>
              <w:rFonts w:hint="eastAsia" w:ascii="宋体" w:hAnsi="宋体" w:cs="宋体"/>
              <w:szCs w:val="28"/>
              <w:shd w:val="clear" w:color="auto" w:fill="FFFFFF"/>
            </w:rPr>
            <w:t>2.4《广东省财政厅广东省审计厅关于省级财政科研项目资金的管理监督办法》（粤财规【2019】5号）</w:t>
          </w:r>
          <w:r>
            <w:rPr>
              <w:rFonts w:hint="eastAsia" w:ascii="宋体" w:hAnsi="宋体" w:cs="宋体"/>
              <w:szCs w:val="28"/>
            </w:rPr>
            <w:tab/>
          </w:r>
          <w:r>
            <w:rPr>
              <w:rFonts w:hint="eastAsia" w:ascii="宋体" w:hAnsi="宋体" w:cs="宋体"/>
              <w:szCs w:val="28"/>
            </w:rPr>
            <w:t>1</w:t>
          </w:r>
          <w:r>
            <w:rPr>
              <w:rFonts w:hint="eastAsia" w:ascii="宋体" w:hAnsi="宋体" w:cs="宋体"/>
              <w:szCs w:val="28"/>
            </w:rPr>
            <w:fldChar w:fldCharType="end"/>
          </w:r>
          <w:r>
            <w:rPr>
              <w:rFonts w:hint="eastAsia" w:ascii="宋体" w:hAnsi="宋体" w:cs="宋体"/>
              <w:szCs w:val="28"/>
            </w:rPr>
            <w:t>5</w:t>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"_Toc48062491" </w:instrText>
          </w:r>
          <w:r>
            <w:fldChar w:fldCharType="separate"/>
          </w:r>
          <w:r>
            <w:rPr>
              <w:rStyle w:val="15"/>
              <w:rFonts w:hint="eastAsia" w:ascii="宋体" w:hAnsi="宋体" w:cs="宋体"/>
              <w:szCs w:val="28"/>
              <w:shd w:val="clear" w:color="auto" w:fill="FFFFFF"/>
            </w:rPr>
            <w:t>2.5《广州市财政局 广州市科学技术局 广州市审计局关于市级财政科研项目资金绩效提升和管理监督办法》(穗财规字【2019】6号)</w:t>
          </w:r>
          <w:r>
            <w:rPr>
              <w:rFonts w:hint="eastAsia" w:ascii="宋体" w:hAnsi="宋体" w:cs="宋体"/>
              <w:szCs w:val="28"/>
            </w:rPr>
            <w:tab/>
          </w:r>
          <w:r>
            <w:rPr>
              <w:rFonts w:hint="eastAsia" w:ascii="宋体" w:hAnsi="宋体" w:cs="宋体"/>
              <w:szCs w:val="28"/>
            </w:rPr>
            <w:t>1</w:t>
          </w:r>
          <w:r>
            <w:rPr>
              <w:rFonts w:hint="eastAsia" w:ascii="宋体" w:hAnsi="宋体" w:cs="宋体"/>
              <w:szCs w:val="28"/>
            </w:rPr>
            <w:fldChar w:fldCharType="end"/>
          </w:r>
          <w:r>
            <w:rPr>
              <w:rFonts w:hint="eastAsia" w:ascii="宋体" w:hAnsi="宋体" w:cs="宋体"/>
              <w:szCs w:val="28"/>
            </w:rPr>
            <w:t>6</w:t>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"_Toc48062492" </w:instrText>
          </w:r>
          <w:r>
            <w:fldChar w:fldCharType="separate"/>
          </w:r>
          <w:r>
            <w:rPr>
              <w:rStyle w:val="15"/>
              <w:rFonts w:hint="eastAsia" w:ascii="宋体" w:hAnsi="宋体" w:cs="宋体"/>
              <w:szCs w:val="28"/>
              <w:shd w:val="clear" w:color="auto" w:fill="FFFFFF"/>
            </w:rPr>
            <w:t>2.6广州市科学技术局 广州市财政局关于印发《广州市科技计划项目经费“包干制改革试点工作方案》的通知【2020】</w:t>
          </w:r>
          <w:r>
            <w:rPr>
              <w:rFonts w:hint="eastAsia" w:ascii="宋体" w:hAnsi="宋体" w:cs="宋体"/>
              <w:szCs w:val="28"/>
            </w:rPr>
            <w:tab/>
          </w:r>
          <w:r>
            <w:rPr>
              <w:rFonts w:hint="eastAsia" w:ascii="宋体" w:hAnsi="宋体" w:cs="宋体"/>
              <w:szCs w:val="28"/>
            </w:rPr>
            <w:t>1</w:t>
          </w:r>
          <w:r>
            <w:rPr>
              <w:rFonts w:hint="eastAsia" w:ascii="宋体" w:hAnsi="宋体" w:cs="宋体"/>
              <w:szCs w:val="28"/>
            </w:rPr>
            <w:fldChar w:fldCharType="end"/>
          </w:r>
          <w:r>
            <w:rPr>
              <w:rFonts w:hint="eastAsia" w:ascii="宋体" w:hAnsi="宋体" w:cs="宋体"/>
              <w:szCs w:val="28"/>
            </w:rPr>
            <w:t>7</w:t>
          </w:r>
        </w:p>
        <w:p>
          <w:pPr>
            <w:pStyle w:val="9"/>
            <w:tabs>
              <w:tab w:val="right" w:leader="dot" w:pos="8296"/>
            </w:tabs>
            <w:ind w:firstLine="0" w:firstLineChars="0"/>
            <w:rPr>
              <w:rFonts w:ascii="宋体" w:hAnsi="宋体" w:cs="宋体"/>
              <w:szCs w:val="28"/>
            </w:rPr>
          </w:pPr>
          <w:r>
            <w:fldChar w:fldCharType="begin"/>
          </w:r>
          <w:r>
            <w:instrText xml:space="preserve"> HYPERLINK \l "_Toc48062495" </w:instrText>
          </w:r>
          <w:r>
            <w:fldChar w:fldCharType="separate"/>
          </w:r>
          <w:r>
            <w:rPr>
              <w:rStyle w:val="15"/>
              <w:rFonts w:hint="eastAsia" w:ascii="宋体" w:hAnsi="宋体" w:cs="宋体"/>
              <w:sz w:val="30"/>
              <w:szCs w:val="30"/>
            </w:rPr>
            <w:t>3.学校内规</w:t>
          </w:r>
          <w:r>
            <w:rPr>
              <w:rFonts w:hint="eastAsia" w:ascii="宋体" w:hAnsi="宋体" w:cs="宋体"/>
              <w:szCs w:val="28"/>
            </w:rPr>
            <w:tab/>
          </w:r>
          <w:r>
            <w:rPr>
              <w:rFonts w:hint="eastAsia" w:ascii="宋体" w:hAnsi="宋体" w:cs="宋体"/>
              <w:szCs w:val="28"/>
            </w:rPr>
            <w:t>1</w:t>
          </w:r>
          <w:r>
            <w:rPr>
              <w:rFonts w:hint="eastAsia" w:ascii="宋体" w:hAnsi="宋体" w:cs="宋体"/>
              <w:szCs w:val="28"/>
            </w:rPr>
            <w:fldChar w:fldCharType="end"/>
          </w:r>
          <w:r>
            <w:rPr>
              <w:rFonts w:hint="eastAsia" w:ascii="宋体" w:hAnsi="宋体" w:cs="宋体"/>
              <w:szCs w:val="28"/>
            </w:rPr>
            <w:t>8</w:t>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"_Toc48062496" </w:instrText>
          </w:r>
          <w:r>
            <w:fldChar w:fldCharType="separate"/>
          </w:r>
          <w:r>
            <w:rPr>
              <w:rStyle w:val="15"/>
              <w:rFonts w:hint="eastAsia" w:ascii="宋体" w:hAnsi="宋体" w:cs="宋体"/>
              <w:szCs w:val="28"/>
              <w:shd w:val="clear" w:color="auto" w:fill="FFFFFF"/>
            </w:rPr>
            <w:t>3.1暨南大学关于印发《暨南大学会议费管理暂行办法》的通知（暨财【2016】42号）</w:t>
          </w:r>
          <w:r>
            <w:rPr>
              <w:rFonts w:hint="eastAsia" w:ascii="宋体" w:hAnsi="宋体" w:cs="宋体"/>
              <w:szCs w:val="28"/>
            </w:rPr>
            <w:tab/>
          </w:r>
          <w:r>
            <w:rPr>
              <w:rFonts w:hint="eastAsia" w:ascii="宋体" w:hAnsi="宋体" w:cs="宋体"/>
              <w:szCs w:val="28"/>
            </w:rPr>
            <w:t>1</w:t>
          </w:r>
          <w:r>
            <w:rPr>
              <w:rFonts w:hint="eastAsia" w:ascii="宋体" w:hAnsi="宋体" w:cs="宋体"/>
              <w:szCs w:val="28"/>
            </w:rPr>
            <w:fldChar w:fldCharType="end"/>
          </w:r>
          <w:r>
            <w:rPr>
              <w:rFonts w:hint="eastAsia" w:ascii="宋体" w:hAnsi="宋体" w:cs="宋体"/>
              <w:szCs w:val="28"/>
            </w:rPr>
            <w:t>8</w:t>
          </w:r>
          <w:r>
            <w:fldChar w:fldCharType="begin"/>
          </w:r>
          <w:r>
            <w:instrText xml:space="preserve"> HYPERLINK \l "_Toc48062497" </w:instrText>
          </w:r>
          <w:r>
            <w:fldChar w:fldCharType="separate"/>
          </w:r>
          <w:r>
            <w:fldChar w:fldCharType="end"/>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"_Toc48062498" </w:instrText>
          </w:r>
          <w:r>
            <w:fldChar w:fldCharType="separate"/>
          </w:r>
          <w:r>
            <w:rPr>
              <w:rStyle w:val="15"/>
              <w:rFonts w:hint="eastAsia" w:ascii="宋体" w:hAnsi="宋体" w:cs="宋体"/>
              <w:szCs w:val="28"/>
              <w:shd w:val="clear" w:color="auto" w:fill="FFFFFF"/>
            </w:rPr>
            <w:t>3.2《暨南大学科研项目间接费用管理办法》（暨财【2017】1号）</w:t>
          </w:r>
          <w:r>
            <w:rPr>
              <w:rFonts w:hint="eastAsia" w:ascii="宋体" w:hAnsi="宋体" w:cs="宋体"/>
              <w:szCs w:val="28"/>
            </w:rPr>
            <w:tab/>
          </w:r>
          <w:r>
            <w:rPr>
              <w:rFonts w:hint="eastAsia" w:ascii="宋体" w:hAnsi="宋体" w:cs="宋体"/>
              <w:szCs w:val="28"/>
            </w:rPr>
            <w:t>1</w:t>
          </w:r>
          <w:r>
            <w:rPr>
              <w:rFonts w:hint="eastAsia" w:ascii="宋体" w:hAnsi="宋体" w:cs="宋体"/>
              <w:szCs w:val="28"/>
            </w:rPr>
            <w:fldChar w:fldCharType="end"/>
          </w:r>
          <w:r>
            <w:rPr>
              <w:rFonts w:hint="eastAsia" w:ascii="宋体" w:hAnsi="宋体" w:cs="宋体"/>
              <w:szCs w:val="28"/>
            </w:rPr>
            <w:t>9</w:t>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"_Toc48062499" </w:instrText>
          </w:r>
          <w:r>
            <w:fldChar w:fldCharType="separate"/>
          </w:r>
          <w:r>
            <w:rPr>
              <w:rStyle w:val="15"/>
              <w:rFonts w:hint="eastAsia" w:ascii="宋体" w:hAnsi="宋体" w:cs="宋体"/>
              <w:szCs w:val="28"/>
            </w:rPr>
            <w:t>3.3《暨南大学科研项目经费管理办法》（暨财</w:t>
          </w:r>
          <w:r>
            <w:rPr>
              <w:rStyle w:val="15"/>
              <w:rFonts w:hint="eastAsia" w:ascii="宋体" w:hAnsi="宋体" w:cs="宋体"/>
              <w:szCs w:val="28"/>
              <w:shd w:val="clear" w:color="auto" w:fill="FFFFFF"/>
            </w:rPr>
            <w:t>【2017】</w:t>
          </w:r>
          <w:r>
            <w:rPr>
              <w:rStyle w:val="15"/>
              <w:rFonts w:hint="eastAsia" w:ascii="宋体" w:hAnsi="宋体" w:cs="宋体"/>
              <w:szCs w:val="28"/>
            </w:rPr>
            <w:t>2号）</w:t>
          </w:r>
          <w:r>
            <w:rPr>
              <w:rFonts w:hint="eastAsia" w:ascii="宋体" w:hAnsi="宋体" w:cs="宋体"/>
              <w:szCs w:val="28"/>
            </w:rPr>
            <w:tab/>
          </w:r>
          <w:r>
            <w:rPr>
              <w:rFonts w:hint="eastAsia" w:ascii="宋体" w:hAnsi="宋体" w:cs="宋体"/>
              <w:szCs w:val="28"/>
            </w:rPr>
            <w:t>2</w:t>
          </w:r>
          <w:r>
            <w:rPr>
              <w:rFonts w:hint="eastAsia" w:ascii="宋体" w:hAnsi="宋体" w:cs="宋体"/>
              <w:szCs w:val="28"/>
            </w:rPr>
            <w:fldChar w:fldCharType="end"/>
          </w:r>
          <w:r>
            <w:rPr>
              <w:rFonts w:hint="eastAsia" w:ascii="宋体" w:hAnsi="宋体" w:cs="宋体"/>
              <w:szCs w:val="28"/>
            </w:rPr>
            <w:t>0</w:t>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"_Toc48062500" </w:instrText>
          </w:r>
          <w:r>
            <w:fldChar w:fldCharType="separate"/>
          </w:r>
          <w:r>
            <w:rPr>
              <w:rStyle w:val="15"/>
              <w:rFonts w:hint="eastAsia" w:ascii="宋体" w:hAnsi="宋体" w:cs="宋体"/>
              <w:szCs w:val="28"/>
            </w:rPr>
            <w:t>3.4《暨南大学科研项目预算调整实施细则》（暨财【2018】6号）及关于修改《暨南大学科研项目预算调整实施细则》的决定（暨财【2019】42号）</w:t>
          </w:r>
          <w:r>
            <w:rPr>
              <w:rFonts w:hint="eastAsia" w:ascii="宋体" w:hAnsi="宋体" w:cs="宋体"/>
              <w:szCs w:val="28"/>
            </w:rPr>
            <w:tab/>
          </w:r>
          <w:r>
            <w:rPr>
              <w:rFonts w:hint="eastAsia" w:ascii="宋体" w:hAnsi="宋体" w:cs="宋体"/>
              <w:szCs w:val="28"/>
            </w:rPr>
            <w:t>2</w:t>
          </w:r>
          <w:r>
            <w:rPr>
              <w:rFonts w:hint="eastAsia" w:ascii="宋体" w:hAnsi="宋体" w:cs="宋体"/>
              <w:szCs w:val="28"/>
            </w:rPr>
            <w:fldChar w:fldCharType="end"/>
          </w:r>
          <w:r>
            <w:rPr>
              <w:rFonts w:hint="eastAsia" w:ascii="宋体" w:hAnsi="宋体" w:cs="宋体"/>
              <w:szCs w:val="28"/>
            </w:rPr>
            <w:t>1</w:t>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"_Toc48062501" </w:instrText>
          </w:r>
          <w:r>
            <w:fldChar w:fldCharType="separate"/>
          </w:r>
          <w:r>
            <w:rPr>
              <w:rStyle w:val="15"/>
              <w:rFonts w:hint="eastAsia" w:ascii="宋体" w:hAnsi="宋体" w:cs="宋体"/>
              <w:szCs w:val="28"/>
            </w:rPr>
            <w:t>3.5《暨南大学科研项目结余经费管理细则（试行）》（暨财【2018】6号）以及关于修订《暨南大学科研项目结余经费管理细则（试行）》的决定（暨财【2020】30号）</w:t>
          </w:r>
          <w:r>
            <w:rPr>
              <w:rFonts w:hint="eastAsia" w:ascii="宋体" w:hAnsi="宋体" w:cs="宋体"/>
              <w:szCs w:val="28"/>
            </w:rPr>
            <w:tab/>
          </w:r>
          <w:r>
            <w:rPr>
              <w:rFonts w:hint="eastAsia" w:ascii="宋体" w:hAnsi="宋体" w:cs="宋体"/>
              <w:szCs w:val="28"/>
            </w:rPr>
            <w:t>2</w:t>
          </w:r>
          <w:r>
            <w:rPr>
              <w:rFonts w:hint="eastAsia" w:ascii="宋体" w:hAnsi="宋体" w:cs="宋体"/>
              <w:szCs w:val="28"/>
            </w:rPr>
            <w:fldChar w:fldCharType="end"/>
          </w:r>
          <w:r>
            <w:rPr>
              <w:rFonts w:hint="eastAsia" w:ascii="宋体" w:hAnsi="宋体" w:cs="宋体"/>
              <w:szCs w:val="28"/>
            </w:rPr>
            <w:t>1</w:t>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"_Toc48062504" </w:instrText>
          </w:r>
          <w:r>
            <w:fldChar w:fldCharType="separate"/>
          </w:r>
          <w:r>
            <w:rPr>
              <w:rStyle w:val="15"/>
              <w:rFonts w:hint="eastAsia" w:ascii="宋体" w:hAnsi="宋体" w:cs="宋体"/>
              <w:szCs w:val="28"/>
              <w:shd w:val="clear" w:color="auto" w:fill="FFFFFF"/>
            </w:rPr>
            <w:t>3.6《暨南大学横向科研项目经费管理细则（暂行）》（暨财【2019】35号）</w:t>
          </w:r>
          <w:r>
            <w:rPr>
              <w:rFonts w:hint="eastAsia" w:ascii="宋体" w:hAnsi="宋体" w:cs="宋体"/>
              <w:szCs w:val="28"/>
            </w:rPr>
            <w:tab/>
          </w:r>
          <w:r>
            <w:rPr>
              <w:rFonts w:hint="eastAsia" w:ascii="宋体" w:hAnsi="宋体" w:cs="宋体"/>
              <w:szCs w:val="28"/>
            </w:rPr>
            <w:t>2</w:t>
          </w:r>
          <w:r>
            <w:rPr>
              <w:rFonts w:hint="eastAsia" w:ascii="宋体" w:hAnsi="宋体" w:cs="宋体"/>
              <w:szCs w:val="28"/>
            </w:rPr>
            <w:fldChar w:fldCharType="end"/>
          </w:r>
          <w:r>
            <w:rPr>
              <w:rFonts w:hint="eastAsia" w:ascii="宋体" w:hAnsi="宋体" w:cs="宋体"/>
              <w:szCs w:val="28"/>
            </w:rPr>
            <w:t>2</w:t>
          </w:r>
        </w:p>
        <w:p>
          <w:pPr>
            <w:pStyle w:val="10"/>
            <w:tabs>
              <w:tab w:val="right" w:leader="dot" w:pos="8296"/>
            </w:tabs>
            <w:ind w:left="280" w:leftChars="100" w:firstLine="0" w:firstLineChars="0"/>
            <w:rPr>
              <w:rFonts w:ascii="宋体" w:hAnsi="宋体" w:cs="宋体"/>
              <w:szCs w:val="28"/>
            </w:rPr>
          </w:pPr>
          <w:r>
            <w:fldChar w:fldCharType="begin"/>
          </w:r>
          <w:r>
            <w:instrText xml:space="preserve"> HYPERLINK \l "_Toc48062505" </w:instrText>
          </w:r>
          <w:r>
            <w:fldChar w:fldCharType="separate"/>
          </w:r>
          <w:r>
            <w:rPr>
              <w:rStyle w:val="15"/>
              <w:rFonts w:hint="eastAsia" w:ascii="宋体" w:hAnsi="宋体" w:cs="宋体"/>
              <w:szCs w:val="28"/>
              <w:shd w:val="clear" w:color="auto" w:fill="FFFFFF"/>
            </w:rPr>
            <w:t>3.7《暨南大学差旅费管理办法》（暨财【2019】40号）</w:t>
          </w:r>
          <w:r>
            <w:rPr>
              <w:rFonts w:hint="eastAsia" w:ascii="宋体" w:hAnsi="宋体" w:cs="宋体"/>
              <w:szCs w:val="28"/>
            </w:rPr>
            <w:tab/>
          </w:r>
          <w:r>
            <w:rPr>
              <w:rFonts w:hint="eastAsia" w:ascii="宋体" w:hAnsi="宋体" w:cs="宋体"/>
              <w:szCs w:val="28"/>
            </w:rPr>
            <w:t>2</w:t>
          </w:r>
          <w:r>
            <w:rPr>
              <w:rFonts w:hint="eastAsia" w:ascii="宋体" w:hAnsi="宋体" w:cs="宋体"/>
              <w:szCs w:val="28"/>
            </w:rPr>
            <w:fldChar w:fldCharType="end"/>
          </w:r>
          <w:r>
            <w:rPr>
              <w:rFonts w:hint="eastAsia" w:ascii="宋体" w:hAnsi="宋体" w:cs="宋体"/>
              <w:szCs w:val="28"/>
            </w:rPr>
            <w:t>4</w:t>
          </w:r>
        </w:p>
        <w:p>
          <w:pPr>
            <w:pStyle w:val="10"/>
            <w:tabs>
              <w:tab w:val="right" w:leader="dot" w:pos="8296"/>
            </w:tabs>
            <w:ind w:left="280" w:leftChars="100" w:firstLine="0" w:firstLineChars="0"/>
          </w:pPr>
          <w:r>
            <w:fldChar w:fldCharType="begin"/>
          </w:r>
          <w:r>
            <w:instrText xml:space="preserve"> HYPERLINK \l "_Toc48062506" </w:instrText>
          </w:r>
          <w:r>
            <w:fldChar w:fldCharType="separate"/>
          </w:r>
          <w:r>
            <w:rPr>
              <w:rStyle w:val="15"/>
              <w:rFonts w:hint="eastAsia" w:ascii="宋体" w:hAnsi="宋体" w:cs="宋体"/>
              <w:szCs w:val="28"/>
              <w:shd w:val="clear" w:color="auto" w:fill="FFFFFF"/>
            </w:rPr>
            <w:t>3.8《暨南大学因公临时出国（境）经费管理办法》（暨财【2019】44号）</w:t>
          </w:r>
          <w:r>
            <w:rPr>
              <w:rFonts w:hint="eastAsia" w:ascii="宋体" w:hAnsi="宋体" w:cs="宋体"/>
              <w:szCs w:val="28"/>
            </w:rPr>
            <w:tab/>
          </w:r>
          <w:r>
            <w:rPr>
              <w:rFonts w:hint="eastAsia" w:ascii="宋体" w:hAnsi="宋体" w:cs="宋体"/>
              <w:szCs w:val="28"/>
            </w:rPr>
            <w:t>2</w:t>
          </w:r>
          <w:r>
            <w:rPr>
              <w:rFonts w:hint="eastAsia" w:ascii="宋体" w:hAnsi="宋体" w:cs="宋体"/>
              <w:szCs w:val="28"/>
            </w:rPr>
            <w:fldChar w:fldCharType="end"/>
          </w:r>
          <w:r>
            <w:rPr>
              <w:rFonts w:hint="eastAsia" w:ascii="宋体" w:hAnsi="宋体" w:cs="宋体"/>
              <w:szCs w:val="28"/>
            </w:rPr>
            <w:t>4</w:t>
          </w:r>
        </w:p>
        <w:p>
          <w:pPr>
            <w:ind w:firstLine="560"/>
            <w:rPr>
              <w:rFonts w:asciiTheme="minorEastAsia" w:hAnsiTheme="minorEastAsia" w:eastAsiaTheme="minorEastAsia" w:cstheme="minorEastAsia"/>
              <w:b/>
              <w:bCs/>
              <w:sz w:val="30"/>
              <w:szCs w:val="30"/>
              <w:shd w:val="clear" w:color="auto" w:fill="FFFFFF"/>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5"/>
              <w:cols w:space="425" w:num="1"/>
              <w:docGrid w:type="lines" w:linePitch="312" w:charSpace="0"/>
            </w:sectPr>
          </w:pPr>
          <w:r>
            <w:fldChar w:fldCharType="end"/>
          </w:r>
          <w:bookmarkStart w:id="0" w:name="_Toc48062395"/>
        </w:p>
        <w:p>
          <w:pPr>
            <w:ind w:firstLine="0" w:firstLineChars="0"/>
          </w:pPr>
        </w:p>
      </w:sdtContent>
    </w:sdt>
    <w:p>
      <w:pPr>
        <w:ind w:firstLine="0" w:firstLineChars="0"/>
        <w:rPr>
          <w:rFonts w:asciiTheme="minorEastAsia" w:hAnsiTheme="minorEastAsia" w:eastAsiaTheme="minorEastAsia" w:cstheme="minorEastAsia"/>
          <w:b/>
          <w:bCs/>
          <w:sz w:val="30"/>
          <w:szCs w:val="30"/>
          <w:shd w:val="clear" w:color="auto" w:fill="FFFFFF"/>
        </w:rPr>
      </w:pPr>
      <w:r>
        <w:rPr>
          <w:rFonts w:hint="eastAsia" w:asciiTheme="minorEastAsia" w:hAnsiTheme="minorEastAsia" w:eastAsiaTheme="minorEastAsia" w:cstheme="minorEastAsia"/>
          <w:b/>
          <w:bCs/>
          <w:sz w:val="30"/>
          <w:szCs w:val="30"/>
          <w:shd w:val="clear" w:color="auto" w:fill="FFFFFF"/>
        </w:rPr>
        <w:t>1.中央政策导读</w:t>
      </w:r>
      <w:bookmarkEnd w:id="0"/>
    </w:p>
    <w:p>
      <w:pPr>
        <w:pStyle w:val="3"/>
        <w:spacing w:line="240" w:lineRule="auto"/>
        <w:ind w:firstLine="0" w:firstLineChars="0"/>
        <w:rPr>
          <w:rFonts w:asciiTheme="minorEastAsia" w:hAnsiTheme="minorEastAsia" w:eastAsiaTheme="minorEastAsia" w:cstheme="minorEastAsia"/>
          <w:bCs/>
          <w:sz w:val="30"/>
          <w:szCs w:val="30"/>
          <w:shd w:val="clear" w:color="auto" w:fill="FFFFFF"/>
        </w:rPr>
      </w:pPr>
      <w:bookmarkStart w:id="1" w:name="_Toc48062396"/>
      <w:r>
        <w:rPr>
          <w:rFonts w:hint="eastAsia" w:asciiTheme="minorEastAsia" w:hAnsiTheme="minorEastAsia" w:eastAsiaTheme="minorEastAsia" w:cstheme="minorEastAsia"/>
          <w:bCs/>
          <w:sz w:val="30"/>
          <w:szCs w:val="30"/>
          <w:shd w:val="clear" w:color="auto" w:fill="FFFFFF"/>
        </w:rPr>
        <w:t>1.1  《关于进一步完善中央财政科研项目资金管理等政策的若意见》（中办发【2016】50号）</w:t>
      </w:r>
      <w:bookmarkEnd w:id="1"/>
    </w:p>
    <w:p>
      <w:pPr>
        <w:ind w:firstLine="638" w:firstLineChars="228"/>
        <w:outlineLvl w:val="2"/>
        <w:rPr>
          <w:rFonts w:asciiTheme="minorEastAsia" w:hAnsiTheme="minorEastAsia" w:cstheme="minorEastAsia"/>
          <w:szCs w:val="28"/>
          <w:shd w:val="clear" w:color="auto" w:fill="FFFFFF"/>
        </w:rPr>
      </w:pPr>
      <w:bookmarkStart w:id="2" w:name="_Toc48062397"/>
      <w:r>
        <w:rPr>
          <w:rFonts w:hint="eastAsia" w:asciiTheme="minorEastAsia" w:hAnsiTheme="minorEastAsia" w:eastAsiaTheme="minorEastAsia" w:cstheme="minorEastAsia"/>
          <w:szCs w:val="28"/>
          <w:shd w:val="clear" w:color="auto" w:fill="FFFFFF"/>
        </w:rPr>
        <w:t>中办发【2016】50号文是近年来党中央、国务院出台的一份有重要指导意义的文件，强有力地推动了科研资金深化改革，坚持“放管服”结合，通过改革和创新科研经费使用和管理方式，旨在改变科研项目资金存在“过细过死”、“重物轻人”等问题，打通了政策执行中的“堵点”。一起看看给科研人员“松绑”的几大亮点到底有哪些吧！</w:t>
      </w:r>
      <w:bookmarkEnd w:id="2"/>
    </w:p>
    <w:p>
      <w:pPr>
        <w:pStyle w:val="12"/>
        <w:widowControl/>
        <w:shd w:val="clear" w:color="auto" w:fill="FFFFFF"/>
        <w:spacing w:beforeAutospacing="0" w:afterAutospacing="0"/>
        <w:ind w:firstLine="280" w:firstLineChars="100"/>
        <w:rPr>
          <w:rFonts w:asciiTheme="minorEastAsia" w:hAnsiTheme="minorEastAsia" w:eastAsiaTheme="minorEastAsia" w:cstheme="minorEastAsia"/>
          <w:kern w:val="2"/>
          <w:sz w:val="28"/>
          <w:szCs w:val="28"/>
          <w:shd w:val="clear" w:color="auto" w:fill="FFFFFF"/>
        </w:rPr>
      </w:pPr>
      <w:r>
        <w:rPr>
          <w:rFonts w:hint="eastAsia" w:asciiTheme="minorEastAsia" w:hAnsiTheme="minorEastAsia" w:eastAsiaTheme="minorEastAsia" w:cstheme="minorEastAsia"/>
          <w:kern w:val="2"/>
          <w:sz w:val="28"/>
          <w:szCs w:val="28"/>
          <w:shd w:val="clear" w:color="auto" w:fill="FFFFFF"/>
        </w:rPr>
        <w:t>（1）简化预算编制科目。将直接费用中会议费、差旅费、国际合作与交流费合并为一个科目，合并后的总费用如果不超过直接费用的10%，就不用再具体说明开几次会、出几次差了。</w:t>
      </w:r>
    </w:p>
    <w:p>
      <w:pPr>
        <w:pStyle w:val="12"/>
        <w:widowControl/>
        <w:shd w:val="clear" w:color="auto" w:fill="FFFFFF"/>
        <w:spacing w:beforeAutospacing="0" w:afterAutospacing="0"/>
        <w:ind w:firstLine="280" w:firstLineChars="100"/>
        <w:rPr>
          <w:rFonts w:asciiTheme="minorEastAsia" w:hAnsiTheme="minorEastAsia" w:cstheme="minorEastAsia"/>
          <w:kern w:val="2"/>
          <w:sz w:val="28"/>
          <w:szCs w:val="28"/>
          <w:shd w:val="clear" w:color="auto" w:fill="FFFFFF"/>
        </w:rPr>
      </w:pPr>
      <w:r>
        <w:rPr>
          <w:rFonts w:hint="eastAsia" w:asciiTheme="minorEastAsia" w:hAnsiTheme="minorEastAsia" w:eastAsiaTheme="minorEastAsia" w:cstheme="minorEastAsia"/>
          <w:kern w:val="2"/>
          <w:sz w:val="28"/>
          <w:szCs w:val="28"/>
          <w:shd w:val="clear" w:color="auto" w:fill="FFFFFF"/>
        </w:rPr>
        <w:t>（2）下放调剂权限。在项目总预算不变的情况下，直接费用中的多数科目预算都可以由项目承担单位自主调剂,“打酱油的钱可以买醋”。</w:t>
      </w:r>
    </w:p>
    <w:p>
      <w:pPr>
        <w:pStyle w:val="12"/>
        <w:widowControl/>
        <w:shd w:val="clear" w:color="auto" w:fill="FFFFFF"/>
        <w:spacing w:beforeAutospacing="0" w:afterAutospacing="0"/>
        <w:ind w:firstLine="280" w:firstLineChars="100"/>
        <w:rPr>
          <w:rFonts w:asciiTheme="minorEastAsia" w:hAnsiTheme="minorEastAsia" w:eastAsiaTheme="minorEastAsia" w:cstheme="minorEastAsia"/>
          <w:kern w:val="2"/>
          <w:sz w:val="28"/>
          <w:szCs w:val="28"/>
          <w:shd w:val="clear" w:color="auto" w:fill="FFFFFF"/>
        </w:rPr>
      </w:pPr>
      <w:r>
        <w:rPr>
          <w:rFonts w:hint="eastAsia" w:asciiTheme="minorEastAsia" w:hAnsiTheme="minorEastAsia" w:eastAsiaTheme="minorEastAsia" w:cstheme="minorEastAsia"/>
          <w:kern w:val="2"/>
          <w:sz w:val="28"/>
          <w:szCs w:val="28"/>
          <w:shd w:val="clear" w:color="auto" w:fill="FFFFFF"/>
        </w:rPr>
        <w:t>（3）提高间接费用比重。直接费用扣除设备购置费500万元以下、500-1000万元、1000万元以上部分的比例上限，其间接费用占比从20%/13%/10%提高到20%/15%/13%。</w:t>
      </w:r>
    </w:p>
    <w:p>
      <w:pPr>
        <w:pStyle w:val="12"/>
        <w:widowControl/>
        <w:shd w:val="clear" w:color="auto" w:fill="FFFFFF"/>
        <w:spacing w:beforeAutospacing="0" w:afterAutospacing="0"/>
        <w:ind w:firstLine="280" w:firstLineChars="100"/>
        <w:rPr>
          <w:rFonts w:asciiTheme="minorEastAsia" w:hAnsiTheme="minorEastAsia" w:cstheme="minorEastAsia"/>
          <w:kern w:val="2"/>
          <w:sz w:val="28"/>
          <w:szCs w:val="28"/>
          <w:shd w:val="clear" w:color="auto" w:fill="FFFFFF"/>
        </w:rPr>
      </w:pPr>
      <w:r>
        <w:rPr>
          <w:rFonts w:hint="eastAsia" w:asciiTheme="minorEastAsia" w:hAnsiTheme="minorEastAsia" w:eastAsiaTheme="minorEastAsia" w:cstheme="minorEastAsia"/>
          <w:kern w:val="2"/>
          <w:sz w:val="28"/>
          <w:szCs w:val="28"/>
          <w:shd w:val="clear" w:color="auto" w:fill="FFFFFF"/>
        </w:rPr>
        <w:t>（4）加大绩效激励力度。项目承担单位可以在核定的间接费用比例范围内统筹安排绩效支出，并与科研人员在项目工作中的实际贡献挂钩，以加大对科研人员激励力度。</w:t>
      </w:r>
    </w:p>
    <w:p>
      <w:pPr>
        <w:pStyle w:val="12"/>
        <w:widowControl/>
        <w:shd w:val="clear" w:color="auto" w:fill="FFFFFF"/>
        <w:spacing w:beforeAutospacing="0" w:afterAutospacing="0"/>
        <w:ind w:firstLine="420" w:firstLineChars="150"/>
        <w:rPr>
          <w:rFonts w:asciiTheme="minorEastAsia" w:hAnsiTheme="minorEastAsia" w:eastAsiaTheme="minorEastAsia" w:cstheme="minorEastAsia"/>
          <w:kern w:val="2"/>
          <w:sz w:val="28"/>
          <w:szCs w:val="28"/>
          <w:shd w:val="clear" w:color="auto" w:fill="FFFFFF"/>
        </w:rPr>
      </w:pPr>
      <w:r>
        <w:rPr>
          <w:rFonts w:hint="eastAsia" w:asciiTheme="minorEastAsia" w:hAnsiTheme="minorEastAsia" w:eastAsiaTheme="minorEastAsia" w:cstheme="minorEastAsia"/>
          <w:kern w:val="2"/>
          <w:sz w:val="28"/>
          <w:szCs w:val="28"/>
          <w:shd w:val="clear" w:color="auto" w:fill="FFFFFF"/>
        </w:rPr>
        <w:t>（5）明确劳务费开支范围。参与项目研究的研究生、博士后、访问学者以及项目聘用的研究人员、科研辅助人员等，都可以开支劳务费。</w:t>
      </w:r>
    </w:p>
    <w:p>
      <w:pPr>
        <w:pStyle w:val="12"/>
        <w:widowControl/>
        <w:shd w:val="clear" w:color="auto" w:fill="FFFFFF"/>
        <w:spacing w:beforeAutospacing="0" w:afterAutospacing="0"/>
        <w:ind w:firstLine="280" w:firstLineChars="100"/>
        <w:rPr>
          <w:rFonts w:asciiTheme="minorEastAsia" w:hAnsiTheme="minorEastAsia" w:eastAsiaTheme="minorEastAsia" w:cstheme="minorEastAsia"/>
          <w:kern w:val="2"/>
          <w:sz w:val="28"/>
          <w:szCs w:val="28"/>
          <w:shd w:val="clear" w:color="auto" w:fill="FFFFFF"/>
        </w:rPr>
      </w:pPr>
      <w:r>
        <w:rPr>
          <w:rFonts w:hint="eastAsia" w:asciiTheme="minorEastAsia" w:hAnsiTheme="minorEastAsia" w:eastAsiaTheme="minorEastAsia" w:cstheme="minorEastAsia"/>
          <w:kern w:val="2"/>
          <w:sz w:val="28"/>
          <w:szCs w:val="28"/>
          <w:shd w:val="clear" w:color="auto" w:fill="FFFFFF"/>
        </w:rPr>
        <w:t>（6）重申劳务费不设比例限制。</w:t>
      </w:r>
    </w:p>
    <w:p>
      <w:pPr>
        <w:pStyle w:val="12"/>
        <w:widowControl/>
        <w:shd w:val="clear" w:color="auto" w:fill="FFFFFF"/>
        <w:spacing w:beforeAutospacing="0" w:afterAutospacing="0"/>
        <w:ind w:firstLine="280" w:firstLineChars="100"/>
        <w:rPr>
          <w:rFonts w:asciiTheme="minorEastAsia" w:hAnsiTheme="minorEastAsia" w:cstheme="minorEastAsia"/>
          <w:kern w:val="2"/>
          <w:sz w:val="28"/>
          <w:szCs w:val="28"/>
          <w:shd w:val="clear" w:color="auto" w:fill="FFFFFF"/>
        </w:rPr>
      </w:pPr>
      <w:r>
        <w:rPr>
          <w:rFonts w:hint="eastAsia" w:asciiTheme="minorEastAsia" w:hAnsiTheme="minorEastAsia" w:eastAsiaTheme="minorEastAsia" w:cstheme="minorEastAsia"/>
          <w:kern w:val="2"/>
          <w:sz w:val="28"/>
          <w:szCs w:val="28"/>
          <w:shd w:val="clear" w:color="auto" w:fill="FFFFFF"/>
        </w:rPr>
        <w:t>（7）明确劳务费开支标准。项目聘用人员的劳务费开支标准，参照当地科学研究和技术服务业从业人员平均工资水平，根据其在项目研究中承担的工作任务确定，既有效解决科研人员反映的评审中预设比例的问题，又突出科研项目资金对“人”的重视和支持。</w:t>
      </w:r>
    </w:p>
    <w:p>
      <w:pPr>
        <w:pStyle w:val="12"/>
        <w:widowControl/>
        <w:shd w:val="clear" w:color="auto" w:fill="FFFFFF"/>
        <w:spacing w:beforeAutospacing="0" w:afterAutospacing="0"/>
        <w:ind w:firstLine="280" w:firstLineChars="100"/>
        <w:rPr>
          <w:rFonts w:asciiTheme="minorEastAsia" w:hAnsiTheme="minorEastAsia" w:cstheme="minorEastAsia"/>
          <w:kern w:val="2"/>
          <w:sz w:val="28"/>
          <w:szCs w:val="28"/>
          <w:shd w:val="clear" w:color="auto" w:fill="FFFFFF"/>
        </w:rPr>
      </w:pPr>
      <w:r>
        <w:rPr>
          <w:rFonts w:hint="eastAsia" w:asciiTheme="minorEastAsia" w:hAnsiTheme="minorEastAsia" w:eastAsiaTheme="minorEastAsia" w:cstheme="minorEastAsia"/>
          <w:kern w:val="2"/>
          <w:sz w:val="28"/>
          <w:szCs w:val="28"/>
          <w:shd w:val="clear" w:color="auto" w:fill="FFFFFF"/>
        </w:rPr>
        <w:t>（8）改进结转结余资金留用处理方式。科研项目实施期间，年度剩余资金可以结转下年继续使用，当年的钱花不完不用收回。项目完成任务目标并通过验收后，结余资金按规定留归单位使用，在2年内可以统筹安排用于科研活动的直接支出；2年后未使用完的，按规定收回。</w:t>
      </w:r>
    </w:p>
    <w:p>
      <w:pPr>
        <w:pStyle w:val="12"/>
        <w:widowControl/>
        <w:shd w:val="clear" w:color="auto" w:fill="FFFFFF"/>
        <w:spacing w:beforeAutospacing="0" w:afterAutospacing="0"/>
        <w:ind w:firstLine="280" w:firstLineChars="100"/>
        <w:rPr>
          <w:rFonts w:asciiTheme="minorEastAsia" w:hAnsiTheme="minorEastAsia" w:cstheme="minorEastAsia"/>
          <w:kern w:val="2"/>
          <w:sz w:val="28"/>
          <w:szCs w:val="28"/>
          <w:shd w:val="clear" w:color="auto" w:fill="FFFFFF"/>
        </w:rPr>
      </w:pPr>
      <w:r>
        <w:rPr>
          <w:rFonts w:hint="eastAsia" w:asciiTheme="minorEastAsia" w:hAnsiTheme="minorEastAsia" w:eastAsiaTheme="minorEastAsia" w:cstheme="minorEastAsia"/>
          <w:kern w:val="2"/>
          <w:sz w:val="28"/>
          <w:szCs w:val="28"/>
          <w:shd w:val="clear" w:color="auto" w:fill="FFFFFF"/>
        </w:rPr>
        <w:t>（9）自主规范管理横向经费。以市场委托方式取得的横向经费，由单位按照委托方要求或合同约定管理使用，有效解决一些科研人员反映的横向经费“纵向化”管理问题。同时，为了防止设“账外账”，强调横向经费要纳入单位财务统一管理。</w:t>
      </w:r>
    </w:p>
    <w:p>
      <w:pPr>
        <w:ind w:firstLine="0" w:firstLineChars="0"/>
        <w:outlineLvl w:val="1"/>
        <w:rPr>
          <w:rFonts w:asciiTheme="minorEastAsia" w:hAnsiTheme="minorEastAsia" w:cstheme="minorEastAsia"/>
          <w:b/>
          <w:bCs/>
          <w:sz w:val="30"/>
          <w:szCs w:val="30"/>
        </w:rPr>
      </w:pPr>
      <w:bookmarkStart w:id="3" w:name="_Toc48062398"/>
      <w:r>
        <w:rPr>
          <w:rFonts w:hint="eastAsia" w:asciiTheme="minorEastAsia" w:hAnsiTheme="minorEastAsia" w:eastAsiaTheme="minorEastAsia" w:cstheme="minorEastAsia"/>
          <w:b/>
          <w:bCs/>
          <w:sz w:val="30"/>
          <w:szCs w:val="30"/>
        </w:rPr>
        <w:t>1.2《国务院关于优化科研</w:t>
      </w:r>
      <w:r>
        <w:rPr>
          <w:rFonts w:hint="eastAsia" w:asciiTheme="minorEastAsia" w:hAnsiTheme="minorEastAsia" w:eastAsiaTheme="minorEastAsia" w:cstheme="minorEastAsia"/>
          <w:b/>
          <w:bCs/>
          <w:sz w:val="30"/>
          <w:szCs w:val="30"/>
          <w:shd w:val="clear" w:color="auto" w:fill="FFFFFF"/>
        </w:rPr>
        <w:t>管理</w:t>
      </w:r>
      <w:r>
        <w:rPr>
          <w:rFonts w:hint="eastAsia" w:asciiTheme="minorEastAsia" w:hAnsiTheme="minorEastAsia" w:eastAsiaTheme="minorEastAsia" w:cstheme="minorEastAsia"/>
          <w:b/>
          <w:bCs/>
          <w:sz w:val="30"/>
          <w:szCs w:val="30"/>
        </w:rPr>
        <w:t>提升科研绩效若干措施的通知》（国发【2018】25号）</w:t>
      </w:r>
      <w:bookmarkEnd w:id="3"/>
    </w:p>
    <w:p>
      <w:pPr>
        <w:pStyle w:val="2"/>
        <w:keepNext w:val="0"/>
        <w:keepLines w:val="0"/>
        <w:widowControl/>
        <w:shd w:val="clear" w:color="auto" w:fill="FFFFFF"/>
        <w:spacing w:before="0" w:after="0" w:line="240" w:lineRule="auto"/>
        <w:ind w:firstLine="638" w:firstLineChars="228"/>
        <w:jc w:val="left"/>
        <w:rPr>
          <w:rFonts w:asciiTheme="minorEastAsia" w:hAnsiTheme="minorEastAsia" w:cstheme="minorEastAsia"/>
          <w:b w:val="0"/>
          <w:kern w:val="2"/>
          <w:sz w:val="28"/>
          <w:szCs w:val="28"/>
        </w:rPr>
      </w:pPr>
      <w:bookmarkStart w:id="4" w:name="_Toc48062399"/>
      <w:r>
        <w:rPr>
          <w:rFonts w:hint="eastAsia" w:asciiTheme="minorEastAsia" w:hAnsiTheme="minorEastAsia" w:eastAsiaTheme="minorEastAsia" w:cstheme="minorEastAsia"/>
          <w:b w:val="0"/>
          <w:kern w:val="2"/>
          <w:sz w:val="28"/>
          <w:szCs w:val="28"/>
        </w:rPr>
        <w:t>所有科研人员请注意！国发【2018】25号文在中办发【2016】50号文基础上进一步为您扩自主权、提绩效、简审批！</w:t>
      </w:r>
      <w:r>
        <w:rPr>
          <w:rFonts w:hint="eastAsia" w:asciiTheme="minorEastAsia" w:hAnsiTheme="minorEastAsia" w:cstheme="minorEastAsia"/>
          <w:b w:val="0"/>
          <w:kern w:val="2"/>
          <w:sz w:val="28"/>
          <w:szCs w:val="28"/>
        </w:rPr>
        <w:t>快来</w:t>
      </w:r>
      <w:r>
        <w:rPr>
          <w:rFonts w:hint="eastAsia" w:asciiTheme="minorEastAsia" w:hAnsiTheme="minorEastAsia" w:eastAsiaTheme="minorEastAsia" w:cstheme="minorEastAsia"/>
          <w:b w:val="0"/>
          <w:kern w:val="2"/>
          <w:sz w:val="28"/>
          <w:szCs w:val="28"/>
        </w:rPr>
        <w:t>看看今后科研怎么做、经费怎么花！科研人员有了更大的自主权</w:t>
      </w:r>
      <w:r>
        <w:rPr>
          <w:rFonts w:hint="eastAsia" w:asciiTheme="minorEastAsia" w:hAnsiTheme="minorEastAsia" w:cstheme="minorEastAsia"/>
          <w:b w:val="0"/>
          <w:kern w:val="2"/>
          <w:sz w:val="28"/>
          <w:szCs w:val="28"/>
        </w:rPr>
        <w:t>，</w:t>
      </w:r>
      <w:r>
        <w:rPr>
          <w:rFonts w:hint="eastAsia" w:asciiTheme="minorEastAsia" w:hAnsiTheme="minorEastAsia" w:eastAsiaTheme="minorEastAsia" w:cstheme="minorEastAsia"/>
          <w:b w:val="0"/>
          <w:kern w:val="2"/>
          <w:sz w:val="28"/>
          <w:szCs w:val="28"/>
        </w:rPr>
        <w:t>具体如何规定的？</w:t>
      </w:r>
      <w:bookmarkEnd w:id="4"/>
    </w:p>
    <w:p>
      <w:pPr>
        <w:pStyle w:val="2"/>
        <w:keepNext w:val="0"/>
        <w:keepLines w:val="0"/>
        <w:widowControl/>
        <w:shd w:val="clear" w:color="auto" w:fill="FFFFFF"/>
        <w:spacing w:before="0" w:after="0" w:line="240" w:lineRule="auto"/>
        <w:ind w:firstLine="280" w:firstLineChars="100"/>
        <w:jc w:val="left"/>
        <w:rPr>
          <w:rFonts w:asciiTheme="minorEastAsia" w:hAnsiTheme="minorEastAsia" w:eastAsiaTheme="minorEastAsia" w:cstheme="minorEastAsia"/>
          <w:b w:val="0"/>
          <w:kern w:val="2"/>
          <w:sz w:val="28"/>
          <w:szCs w:val="28"/>
        </w:rPr>
      </w:pPr>
      <w:bookmarkStart w:id="5" w:name="_Toc48062400"/>
      <w:r>
        <w:rPr>
          <w:rFonts w:hint="eastAsia" w:asciiTheme="minorEastAsia" w:hAnsiTheme="minorEastAsia" w:eastAsiaTheme="minorEastAsia" w:cstheme="minorEastAsia"/>
          <w:b w:val="0"/>
          <w:kern w:val="2"/>
          <w:sz w:val="28"/>
          <w:szCs w:val="28"/>
        </w:rPr>
        <w:t>（1）扩大自主“权”。直接费用中除设备费外，其他费用只提供基本测算说明，并且预算调剂权全部下放给项目承担单位。</w:t>
      </w:r>
      <w:bookmarkEnd w:id="5"/>
    </w:p>
    <w:p>
      <w:pPr>
        <w:pStyle w:val="2"/>
        <w:keepNext w:val="0"/>
        <w:keepLines w:val="0"/>
        <w:widowControl/>
        <w:shd w:val="clear" w:color="auto" w:fill="FFFFFF"/>
        <w:spacing w:before="0" w:after="0" w:line="240" w:lineRule="auto"/>
        <w:ind w:firstLine="280" w:firstLineChars="100"/>
        <w:jc w:val="left"/>
        <w:rPr>
          <w:rFonts w:asciiTheme="minorEastAsia" w:hAnsiTheme="minorEastAsia" w:cstheme="minorEastAsia"/>
          <w:b w:val="0"/>
          <w:kern w:val="2"/>
          <w:sz w:val="28"/>
          <w:szCs w:val="28"/>
        </w:rPr>
      </w:pPr>
      <w:bookmarkStart w:id="6" w:name="_Toc48062401"/>
      <w:r>
        <w:rPr>
          <w:rFonts w:hint="eastAsia" w:asciiTheme="minorEastAsia" w:hAnsiTheme="minorEastAsia" w:eastAsiaTheme="minorEastAsia" w:cstheme="minorEastAsia"/>
          <w:b w:val="0"/>
          <w:kern w:val="2"/>
          <w:sz w:val="28"/>
          <w:szCs w:val="28"/>
        </w:rPr>
        <w:t>（2）优化科研经费管理。对于接受企业或其他社会组织委托取得的项目经费，纳入单位财务统一管理，由项目承担单位按照委托方要求或合同约定管理使用。</w:t>
      </w:r>
      <w:bookmarkEnd w:id="6"/>
    </w:p>
    <w:p>
      <w:pPr>
        <w:pStyle w:val="2"/>
        <w:keepNext w:val="0"/>
        <w:keepLines w:val="0"/>
        <w:widowControl/>
        <w:shd w:val="clear" w:color="auto" w:fill="FFFFFF"/>
        <w:spacing w:before="0" w:after="0" w:line="240" w:lineRule="auto"/>
        <w:ind w:firstLine="280" w:firstLineChars="100"/>
        <w:jc w:val="left"/>
        <w:rPr>
          <w:rFonts w:asciiTheme="minorEastAsia" w:hAnsiTheme="minorEastAsia" w:eastAsiaTheme="minorEastAsia" w:cstheme="minorEastAsia"/>
          <w:b w:val="0"/>
          <w:kern w:val="2"/>
          <w:sz w:val="28"/>
          <w:szCs w:val="28"/>
        </w:rPr>
      </w:pPr>
      <w:bookmarkStart w:id="7" w:name="_Toc48062402"/>
      <w:r>
        <w:rPr>
          <w:rFonts w:hint="eastAsia" w:asciiTheme="minorEastAsia" w:hAnsiTheme="minorEastAsia" w:eastAsiaTheme="minorEastAsia" w:cstheme="minorEastAsia"/>
          <w:b w:val="0"/>
          <w:kern w:val="2"/>
          <w:sz w:val="28"/>
          <w:szCs w:val="28"/>
        </w:rPr>
        <w:t>（3）切实提升绩效激励。加大对承担国家关键领域核心技术攻关任务科研人员的薪酬激励，实行一项一策、清单式管理和年薪制。</w:t>
      </w:r>
      <w:bookmarkEnd w:id="7"/>
    </w:p>
    <w:p>
      <w:pPr>
        <w:pStyle w:val="2"/>
        <w:keepNext w:val="0"/>
        <w:keepLines w:val="0"/>
        <w:widowControl/>
        <w:shd w:val="clear" w:color="auto" w:fill="FFFFFF"/>
        <w:spacing w:before="0" w:after="0" w:line="240" w:lineRule="auto"/>
        <w:ind w:firstLine="280" w:firstLineChars="100"/>
        <w:jc w:val="left"/>
        <w:rPr>
          <w:rFonts w:asciiTheme="minorEastAsia" w:hAnsiTheme="minorEastAsia" w:cstheme="minorEastAsia"/>
          <w:b w:val="0"/>
          <w:kern w:val="2"/>
          <w:sz w:val="28"/>
          <w:szCs w:val="28"/>
        </w:rPr>
      </w:pPr>
      <w:bookmarkStart w:id="8" w:name="_Toc48062403"/>
      <w:r>
        <w:rPr>
          <w:rFonts w:hint="eastAsia" w:asciiTheme="minorEastAsia" w:hAnsiTheme="minorEastAsia" w:eastAsiaTheme="minorEastAsia" w:cstheme="minorEastAsia"/>
          <w:b w:val="0"/>
          <w:kern w:val="2"/>
          <w:sz w:val="28"/>
          <w:szCs w:val="28"/>
        </w:rPr>
        <w:t>（4）开展扩大自主权试点。允许试点单位符合要求的科研项目提高间接经费比例，500万元以下的部分为不超过30%，500万元至1000万元的部分为不超过25%，1000万元以上的部分为不超过20%。</w:t>
      </w:r>
      <w:bookmarkEnd w:id="8"/>
    </w:p>
    <w:p>
      <w:pPr>
        <w:pStyle w:val="2"/>
        <w:keepNext w:val="0"/>
        <w:keepLines w:val="0"/>
        <w:widowControl/>
        <w:shd w:val="clear" w:color="auto" w:fill="FFFFFF"/>
        <w:spacing w:before="0" w:after="0" w:line="240" w:lineRule="auto"/>
        <w:ind w:firstLine="280" w:firstLineChars="100"/>
        <w:jc w:val="left"/>
        <w:rPr>
          <w:rFonts w:asciiTheme="minorEastAsia" w:hAnsiTheme="minorEastAsia" w:cstheme="minorEastAsia"/>
          <w:b w:val="0"/>
          <w:kern w:val="2"/>
          <w:sz w:val="28"/>
          <w:szCs w:val="28"/>
        </w:rPr>
      </w:pPr>
      <w:bookmarkStart w:id="9" w:name="_Toc48062404"/>
      <w:r>
        <w:rPr>
          <w:rFonts w:hint="eastAsia" w:asciiTheme="minorEastAsia" w:hAnsiTheme="minorEastAsia" w:eastAsiaTheme="minorEastAsia" w:cstheme="minorEastAsia"/>
          <w:b w:val="0"/>
          <w:kern w:val="2"/>
          <w:sz w:val="28"/>
          <w:szCs w:val="28"/>
        </w:rPr>
        <w:t>（5）简化申报和过程管理。减少科研项目实施周期内的各类评估、检查、抽查、审计等活动，自由探索类基础研究项目和实施周期三年以下的项目以承担单位自我管理为主，一般不开展过程检查。</w:t>
      </w:r>
      <w:bookmarkEnd w:id="9"/>
    </w:p>
    <w:p>
      <w:pPr>
        <w:pStyle w:val="2"/>
        <w:keepNext w:val="0"/>
        <w:keepLines w:val="0"/>
        <w:widowControl/>
        <w:shd w:val="clear" w:color="auto" w:fill="FFFFFF"/>
        <w:spacing w:before="0" w:after="0" w:line="240" w:lineRule="auto"/>
        <w:ind w:firstLine="280" w:firstLineChars="100"/>
        <w:jc w:val="left"/>
        <w:rPr>
          <w:rFonts w:asciiTheme="minorEastAsia" w:hAnsiTheme="minorEastAsia" w:cstheme="minorEastAsia"/>
          <w:b w:val="0"/>
          <w:kern w:val="2"/>
          <w:sz w:val="28"/>
          <w:szCs w:val="28"/>
        </w:rPr>
      </w:pPr>
      <w:bookmarkStart w:id="10" w:name="_Toc48062405"/>
      <w:r>
        <w:rPr>
          <w:rFonts w:hint="eastAsia" w:asciiTheme="minorEastAsia" w:hAnsiTheme="minorEastAsia" w:eastAsiaTheme="minorEastAsia" w:cstheme="minorEastAsia"/>
          <w:b w:val="0"/>
          <w:kern w:val="2"/>
          <w:sz w:val="28"/>
          <w:szCs w:val="28"/>
        </w:rPr>
        <w:t>（6）合并财务和技术验收。由项目管理专业机构在实施期末进行一次性综合绩效评价，不再分别开展单独的财务和技术验收。</w:t>
      </w:r>
      <w:bookmarkEnd w:id="10"/>
    </w:p>
    <w:p>
      <w:pPr>
        <w:pStyle w:val="2"/>
        <w:keepNext w:val="0"/>
        <w:keepLines w:val="0"/>
        <w:widowControl/>
        <w:shd w:val="clear" w:color="auto" w:fill="FFFFFF"/>
        <w:spacing w:before="0" w:after="0" w:line="240" w:lineRule="auto"/>
        <w:ind w:firstLine="280" w:firstLineChars="100"/>
        <w:jc w:val="left"/>
        <w:rPr>
          <w:rFonts w:asciiTheme="minorEastAsia" w:hAnsiTheme="minorEastAsia" w:cstheme="minorEastAsia"/>
          <w:b w:val="0"/>
          <w:kern w:val="2"/>
          <w:sz w:val="28"/>
          <w:szCs w:val="28"/>
        </w:rPr>
      </w:pPr>
      <w:bookmarkStart w:id="11" w:name="_Toc48062406"/>
      <w:r>
        <w:rPr>
          <w:rFonts w:hint="eastAsia" w:asciiTheme="minorEastAsia" w:hAnsiTheme="minorEastAsia" w:eastAsiaTheme="minorEastAsia" w:cstheme="minorEastAsia"/>
          <w:b w:val="0"/>
          <w:kern w:val="2"/>
          <w:sz w:val="28"/>
          <w:szCs w:val="28"/>
        </w:rPr>
        <w:t>（7）建立健全财务助理制度。允许通过购买财会等专业服务，把科研人员从报表、报销等具体事务中解脱出来</w:t>
      </w:r>
      <w:r>
        <w:rPr>
          <w:rFonts w:hint="eastAsia" w:asciiTheme="minorEastAsia" w:hAnsiTheme="minorEastAsia" w:cstheme="minorEastAsia"/>
          <w:b w:val="0"/>
          <w:kern w:val="2"/>
          <w:sz w:val="28"/>
          <w:szCs w:val="28"/>
        </w:rPr>
        <w:t>。</w:t>
      </w:r>
      <w:bookmarkEnd w:id="11"/>
    </w:p>
    <w:p>
      <w:pPr>
        <w:ind w:firstLine="0" w:firstLineChars="0"/>
        <w:outlineLvl w:val="1"/>
        <w:rPr>
          <w:rFonts w:asciiTheme="minorEastAsia" w:hAnsiTheme="minorEastAsia" w:cstheme="minorEastAsia"/>
          <w:b/>
          <w:bCs/>
          <w:sz w:val="30"/>
          <w:szCs w:val="30"/>
        </w:rPr>
      </w:pPr>
      <w:bookmarkStart w:id="12" w:name="_Toc48062407"/>
      <w:r>
        <w:rPr>
          <w:rFonts w:hint="eastAsia" w:asciiTheme="minorEastAsia" w:hAnsiTheme="minorEastAsia" w:eastAsiaTheme="minorEastAsia" w:cstheme="minorEastAsia"/>
          <w:b/>
          <w:bCs/>
          <w:sz w:val="30"/>
          <w:szCs w:val="30"/>
        </w:rPr>
        <w:t>1.3《国务院办公厅关于抓好赋予科研机构和人员更大自主权有关文件贯彻落实工作的通知》（国办发【2018】127号）</w:t>
      </w:r>
      <w:bookmarkEnd w:id="12"/>
    </w:p>
    <w:p>
      <w:pPr>
        <w:ind w:firstLine="638" w:firstLineChars="228"/>
        <w:outlineLvl w:val="2"/>
        <w:rPr>
          <w:rFonts w:asciiTheme="minorEastAsia" w:hAnsiTheme="minorEastAsia" w:cstheme="minorEastAsia"/>
          <w:szCs w:val="28"/>
        </w:rPr>
      </w:pPr>
      <w:bookmarkStart w:id="13" w:name="_Toc48062408"/>
      <w:r>
        <w:rPr>
          <w:rFonts w:hint="eastAsia" w:asciiTheme="minorEastAsia" w:hAnsiTheme="minorEastAsia" w:eastAsiaTheme="minorEastAsia" w:cstheme="minorEastAsia"/>
          <w:szCs w:val="28"/>
        </w:rPr>
        <w:t>党中央、国务院聚焦完善科研管理、提升科研绩效、推进成果转化、优化分配机制等方面，同时紧抓政策落地。</w:t>
      </w:r>
      <w:r>
        <w:rPr>
          <w:rFonts w:hint="eastAsia" w:asciiTheme="minorEastAsia" w:hAnsiTheme="minorEastAsia" w:eastAsiaTheme="minorEastAsia" w:cstheme="minorEastAsia"/>
          <w:bCs/>
          <w:szCs w:val="28"/>
        </w:rPr>
        <w:t>国办发【2018】127号</w:t>
      </w:r>
      <w:r>
        <w:rPr>
          <w:rFonts w:hint="eastAsia" w:asciiTheme="minorEastAsia" w:hAnsiTheme="minorEastAsia" w:eastAsiaTheme="minorEastAsia" w:cstheme="minorEastAsia"/>
          <w:szCs w:val="28"/>
        </w:rPr>
        <w:t>的出台是为了进一步推动赋予科研单位和科研人员更大自主权有关文件精神落实到位</w:t>
      </w:r>
      <w:r>
        <w:rPr>
          <w:rFonts w:hint="eastAsia" w:asciiTheme="minorEastAsia" w:hAnsiTheme="minorEastAsia" w:cstheme="minorEastAsia"/>
          <w:szCs w:val="28"/>
        </w:rPr>
        <w:t>，给科研人员再打一剂“强心针”</w:t>
      </w:r>
      <w:r>
        <w:rPr>
          <w:rFonts w:hint="eastAsia" w:asciiTheme="minorEastAsia" w:hAnsiTheme="minorEastAsia" w:eastAsiaTheme="minorEastAsia" w:cstheme="minorEastAsia"/>
          <w:szCs w:val="28"/>
        </w:rPr>
        <w:t>。</w:t>
      </w:r>
      <w:bookmarkEnd w:id="13"/>
    </w:p>
    <w:p>
      <w:pPr>
        <w:ind w:firstLine="420" w:firstLineChars="150"/>
        <w:outlineLvl w:val="2"/>
        <w:rPr>
          <w:rFonts w:asciiTheme="minorEastAsia" w:hAnsiTheme="minorEastAsia" w:cstheme="minorEastAsia"/>
          <w:szCs w:val="28"/>
        </w:rPr>
      </w:pPr>
      <w:bookmarkStart w:id="14" w:name="_Toc48062409"/>
      <w:r>
        <w:rPr>
          <w:rFonts w:hint="eastAsia" w:asciiTheme="minorEastAsia" w:hAnsiTheme="minorEastAsia" w:eastAsiaTheme="minorEastAsia" w:cstheme="minorEastAsia"/>
          <w:szCs w:val="28"/>
        </w:rPr>
        <w:t>（1）充分认识赋予自主权的重要意义。解决政策落实中存在的突出问题，切实为科研单位和科研人员营造良好创新环境。</w:t>
      </w:r>
      <w:bookmarkEnd w:id="14"/>
    </w:p>
    <w:p>
      <w:pPr>
        <w:ind w:firstLine="280" w:firstLineChars="100"/>
        <w:outlineLvl w:val="2"/>
        <w:rPr>
          <w:rFonts w:asciiTheme="minorEastAsia" w:hAnsiTheme="minorEastAsia" w:eastAsiaTheme="minorEastAsia" w:cstheme="minorEastAsia"/>
          <w:szCs w:val="28"/>
        </w:rPr>
      </w:pPr>
      <w:bookmarkStart w:id="15" w:name="_Toc48062410"/>
      <w:r>
        <w:rPr>
          <w:rFonts w:hint="eastAsia" w:asciiTheme="minorEastAsia" w:hAnsiTheme="minorEastAsia" w:eastAsiaTheme="minorEastAsia" w:cstheme="minorEastAsia"/>
          <w:szCs w:val="28"/>
        </w:rPr>
        <w:t>（2）制定配套制度和具体实施办法。对中央出台的赋予自主权的有关政策，各承担单位要按照要求修订和制定相关实施办法和制度。</w:t>
      </w:r>
      <w:bookmarkEnd w:id="15"/>
    </w:p>
    <w:p>
      <w:pPr>
        <w:ind w:firstLine="280" w:firstLineChars="100"/>
        <w:outlineLvl w:val="2"/>
        <w:rPr>
          <w:rFonts w:asciiTheme="minorEastAsia" w:hAnsiTheme="minorEastAsia" w:eastAsiaTheme="minorEastAsia" w:cstheme="minorEastAsia"/>
          <w:szCs w:val="28"/>
        </w:rPr>
      </w:pPr>
      <w:bookmarkStart w:id="16" w:name="_Toc48062411"/>
      <w:r>
        <w:rPr>
          <w:rFonts w:hint="eastAsia" w:asciiTheme="minorEastAsia" w:hAnsiTheme="minorEastAsia" w:eastAsiaTheme="minorEastAsia" w:cstheme="minorEastAsia"/>
          <w:szCs w:val="28"/>
        </w:rPr>
        <w:t>（3）推进下放科技管理权限。将预算调剂、仪器采购等事项交由承担单位自主决定，明确赋予科研人员更大技术路线决策权，由重过程管理向重目标和标志性成果转变，并精简信息和材料报送。</w:t>
      </w:r>
      <w:bookmarkEnd w:id="16"/>
    </w:p>
    <w:p>
      <w:pPr>
        <w:ind w:firstLine="280" w:firstLineChars="100"/>
        <w:outlineLvl w:val="2"/>
        <w:rPr>
          <w:rFonts w:asciiTheme="minorEastAsia" w:hAnsiTheme="minorEastAsia" w:eastAsiaTheme="minorEastAsia" w:cstheme="minorEastAsia"/>
          <w:szCs w:val="28"/>
        </w:rPr>
      </w:pPr>
      <w:bookmarkStart w:id="17" w:name="_Toc48062412"/>
      <w:r>
        <w:rPr>
          <w:rFonts w:hint="eastAsia" w:asciiTheme="minorEastAsia" w:hAnsiTheme="minorEastAsia" w:eastAsiaTheme="minorEastAsia" w:cstheme="minorEastAsia"/>
          <w:szCs w:val="28"/>
        </w:rPr>
        <w:t>（4）科研单位要健全完善内部管理制度。</w:t>
      </w:r>
      <w:bookmarkEnd w:id="17"/>
    </w:p>
    <w:p>
      <w:pPr>
        <w:ind w:firstLine="280" w:firstLineChars="100"/>
        <w:outlineLvl w:val="2"/>
        <w:rPr>
          <w:rFonts w:asciiTheme="minorEastAsia" w:hAnsiTheme="minorEastAsia" w:eastAsiaTheme="minorEastAsia" w:cstheme="minorEastAsia"/>
          <w:szCs w:val="28"/>
        </w:rPr>
      </w:pPr>
      <w:bookmarkStart w:id="18" w:name="_Toc48062413"/>
      <w:r>
        <w:rPr>
          <w:rFonts w:hint="eastAsia" w:asciiTheme="minorEastAsia" w:hAnsiTheme="minorEastAsia" w:eastAsiaTheme="minorEastAsia" w:cstheme="minorEastAsia"/>
          <w:szCs w:val="28"/>
        </w:rPr>
        <w:t>（5）做好出台规定的衔接。明确科研人员兼职的操作办法、制定科技成果转化收益的具体办法、科技成果作为国有资产的管理程序。</w:t>
      </w:r>
      <w:bookmarkEnd w:id="18"/>
      <w:r>
        <w:rPr>
          <w:rFonts w:hint="eastAsia" w:asciiTheme="minorEastAsia" w:hAnsiTheme="minorEastAsia" w:eastAsiaTheme="minorEastAsia" w:cstheme="minorEastAsia"/>
          <w:szCs w:val="28"/>
        </w:rPr>
        <w:t xml:space="preserve">      </w:t>
      </w:r>
    </w:p>
    <w:p>
      <w:pPr>
        <w:ind w:firstLine="280" w:firstLineChars="100"/>
        <w:outlineLvl w:val="2"/>
        <w:rPr>
          <w:rFonts w:asciiTheme="minorEastAsia" w:hAnsiTheme="minorEastAsia" w:eastAsiaTheme="minorEastAsia" w:cstheme="minorEastAsia"/>
          <w:szCs w:val="28"/>
        </w:rPr>
      </w:pPr>
      <w:bookmarkStart w:id="19" w:name="_Toc48062414"/>
      <w:r>
        <w:rPr>
          <w:rFonts w:hint="eastAsia" w:asciiTheme="minorEastAsia" w:hAnsiTheme="minorEastAsia" w:eastAsiaTheme="minorEastAsia" w:cstheme="minorEastAsia"/>
          <w:szCs w:val="28"/>
        </w:rPr>
        <w:t>（6）明确项目经费细化管理。自主规范横向经费管理，承担单位对科研需要的出差和会议按标准报销并简化手续。</w:t>
      </w:r>
      <w:bookmarkEnd w:id="19"/>
    </w:p>
    <w:p>
      <w:pPr>
        <w:ind w:firstLine="280" w:firstLineChars="100"/>
        <w:outlineLvl w:val="2"/>
        <w:rPr>
          <w:rFonts w:asciiTheme="minorEastAsia" w:hAnsiTheme="minorEastAsia" w:cstheme="minorEastAsia"/>
          <w:szCs w:val="28"/>
        </w:rPr>
      </w:pPr>
      <w:bookmarkStart w:id="20" w:name="_Toc48062415"/>
      <w:r>
        <w:rPr>
          <w:rFonts w:hint="eastAsia" w:asciiTheme="minorEastAsia" w:hAnsiTheme="minorEastAsia" w:eastAsiaTheme="minorEastAsia" w:cstheme="minorEastAsia"/>
          <w:szCs w:val="28"/>
        </w:rPr>
        <w:t>（7）加强政策落实督查。各地区部门开展业务指导和督查，做好培训宣传工作，并落实政策的监督。</w:t>
      </w:r>
      <w:bookmarkEnd w:id="20"/>
    </w:p>
    <w:p>
      <w:pPr>
        <w:ind w:firstLine="0" w:firstLineChars="0"/>
        <w:outlineLvl w:val="1"/>
        <w:rPr>
          <w:rFonts w:asciiTheme="minorEastAsia" w:hAnsiTheme="minorEastAsia" w:cstheme="minorEastAsia"/>
          <w:szCs w:val="28"/>
          <w:shd w:val="clear" w:color="auto" w:fill="FFFFFF"/>
        </w:rPr>
      </w:pPr>
      <w:bookmarkStart w:id="21" w:name="_Toc48062416"/>
      <w:r>
        <w:rPr>
          <w:rFonts w:hint="eastAsia" w:asciiTheme="minorEastAsia" w:hAnsiTheme="minorEastAsia" w:eastAsiaTheme="minorEastAsia" w:cstheme="minorEastAsia"/>
          <w:b/>
          <w:bCs/>
          <w:sz w:val="30"/>
          <w:szCs w:val="30"/>
          <w:shd w:val="clear" w:color="auto" w:fill="FFFFFF"/>
        </w:rPr>
        <w:t>1.4《教育部办公厅关于进一步落实优化科研管理提升科研绩效若干措施的通知》（教技厅【2018】5号）</w:t>
      </w:r>
      <w:bookmarkEnd w:id="21"/>
    </w:p>
    <w:p>
      <w:pPr>
        <w:ind w:firstLine="560"/>
        <w:outlineLvl w:val="2"/>
        <w:rPr>
          <w:rFonts w:asciiTheme="minorEastAsia" w:hAnsiTheme="minorEastAsia" w:eastAsiaTheme="minorEastAsia" w:cstheme="minorEastAsia"/>
          <w:szCs w:val="28"/>
        </w:rPr>
      </w:pPr>
      <w:bookmarkStart w:id="22" w:name="_Toc48062417"/>
      <w:r>
        <w:rPr>
          <w:rFonts w:hint="eastAsia" w:asciiTheme="minorEastAsia" w:hAnsiTheme="minorEastAsia" w:eastAsiaTheme="minorEastAsia" w:cstheme="minorEastAsia"/>
          <w:bCs/>
          <w:szCs w:val="28"/>
        </w:rPr>
        <w:t>教技厅【2018】5号</w:t>
      </w:r>
      <w:r>
        <w:rPr>
          <w:rFonts w:hint="eastAsia" w:asciiTheme="minorEastAsia" w:hAnsiTheme="minorEastAsia" w:eastAsiaTheme="minorEastAsia" w:cstheme="minorEastAsia"/>
          <w:szCs w:val="28"/>
        </w:rPr>
        <w:t>是教育部敦促各高校进一步做好《国务院关于优化科研管理提升科研绩效若干措施的通知》（国发〔2018〕25号）贯彻落实工作，并下达落实任务，将国务院最高指示落实到底！</w:t>
      </w:r>
      <w:bookmarkEnd w:id="22"/>
      <w:r>
        <w:rPr>
          <w:rFonts w:hint="eastAsia" w:asciiTheme="minorEastAsia" w:hAnsiTheme="minorEastAsia" w:eastAsiaTheme="minorEastAsia" w:cstheme="minorEastAsia"/>
          <w:szCs w:val="28"/>
        </w:rPr>
        <w:t xml:space="preserve">  </w:t>
      </w:r>
    </w:p>
    <w:p>
      <w:pPr>
        <w:ind w:firstLine="280" w:firstLineChars="100"/>
        <w:outlineLvl w:val="2"/>
        <w:rPr>
          <w:rFonts w:asciiTheme="minorEastAsia" w:hAnsiTheme="minorEastAsia" w:eastAsiaTheme="minorEastAsia" w:cstheme="minorEastAsia"/>
          <w:szCs w:val="28"/>
        </w:rPr>
      </w:pPr>
      <w:bookmarkStart w:id="23" w:name="_Toc48062418"/>
      <w:r>
        <w:rPr>
          <w:rFonts w:hint="eastAsia" w:asciiTheme="minorEastAsia" w:hAnsiTheme="minorEastAsia" w:eastAsiaTheme="minorEastAsia" w:cstheme="minorEastAsia"/>
          <w:szCs w:val="28"/>
        </w:rPr>
        <w:t>（1）完善信息公开制度。通过线上网络系统、科研简报等方式，于2018年底实现科研项目预算调剂、资金使用（重点是间接费用、外拨资金、结余资金使用）、研究成果等信息公开。</w:t>
      </w:r>
      <w:bookmarkEnd w:id="23"/>
    </w:p>
    <w:p>
      <w:pPr>
        <w:ind w:firstLine="280" w:firstLineChars="100"/>
        <w:outlineLvl w:val="2"/>
        <w:rPr>
          <w:rFonts w:asciiTheme="minorEastAsia" w:hAnsiTheme="minorEastAsia" w:eastAsiaTheme="minorEastAsia" w:cstheme="minorEastAsia"/>
          <w:szCs w:val="28"/>
        </w:rPr>
      </w:pPr>
      <w:bookmarkStart w:id="24" w:name="_Toc48062419"/>
      <w:r>
        <w:rPr>
          <w:rFonts w:hint="eastAsia" w:asciiTheme="minorEastAsia" w:hAnsiTheme="minorEastAsia" w:eastAsiaTheme="minorEastAsia" w:cstheme="minorEastAsia"/>
          <w:szCs w:val="28"/>
        </w:rPr>
        <w:t>（2）统筹使用项目间接经费、劳务费。按照“有需即配”原则，于2019年6月底前建立健全学术助理和财务助理制度。</w:t>
      </w:r>
      <w:bookmarkEnd w:id="24"/>
    </w:p>
    <w:p>
      <w:pPr>
        <w:ind w:firstLine="280" w:firstLineChars="100"/>
        <w:outlineLvl w:val="2"/>
        <w:rPr>
          <w:rFonts w:asciiTheme="minorEastAsia" w:hAnsiTheme="minorEastAsia" w:eastAsiaTheme="minorEastAsia" w:cstheme="minorEastAsia"/>
          <w:szCs w:val="28"/>
        </w:rPr>
      </w:pPr>
      <w:bookmarkStart w:id="25" w:name="_Toc48062420"/>
      <w:r>
        <w:rPr>
          <w:rFonts w:hint="eastAsia" w:asciiTheme="minorEastAsia" w:hAnsiTheme="minorEastAsia" w:eastAsiaTheme="minorEastAsia" w:cstheme="minorEastAsia"/>
          <w:szCs w:val="28"/>
        </w:rPr>
        <w:t>（3）加快管理信息化建设。于2019年12月底前建立覆盖科研活动全过程管理与服务体系，探索建立“一站式”服务大厅，形成激励创新、协同高效的科研、人事、财务管理体系。</w:t>
      </w:r>
      <w:bookmarkEnd w:id="25"/>
    </w:p>
    <w:p>
      <w:pPr>
        <w:ind w:firstLine="280" w:firstLineChars="100"/>
        <w:outlineLvl w:val="2"/>
        <w:rPr>
          <w:rFonts w:asciiTheme="minorEastAsia" w:hAnsiTheme="minorEastAsia" w:eastAsiaTheme="minorEastAsia" w:cstheme="minorEastAsia"/>
          <w:szCs w:val="28"/>
        </w:rPr>
      </w:pPr>
      <w:bookmarkStart w:id="26" w:name="_Toc48062421"/>
      <w:r>
        <w:rPr>
          <w:rFonts w:hint="eastAsia" w:asciiTheme="minorEastAsia" w:hAnsiTheme="minorEastAsia" w:eastAsiaTheme="minorEastAsia" w:cstheme="minorEastAsia"/>
          <w:szCs w:val="28"/>
        </w:rPr>
        <w:t>（4</w:t>
      </w:r>
      <w:r>
        <w:rPr>
          <w:rFonts w:asciiTheme="minorEastAsia" w:hAnsiTheme="minorEastAsia" w:eastAsiaTheme="minorEastAsia" w:cstheme="minorEastAsia"/>
          <w:szCs w:val="28"/>
        </w:rPr>
        <w:t>）</w:t>
      </w:r>
      <w:r>
        <w:rPr>
          <w:rFonts w:hint="eastAsia" w:asciiTheme="minorEastAsia" w:hAnsiTheme="minorEastAsia" w:eastAsiaTheme="minorEastAsia" w:cstheme="minorEastAsia"/>
          <w:szCs w:val="28"/>
        </w:rPr>
        <w:t>探索建立科研诚信体系。于2019年12月底前建立科研人员学术诚信档案，健全科研负责人退出和追责机制。</w:t>
      </w:r>
      <w:bookmarkEnd w:id="26"/>
    </w:p>
    <w:p>
      <w:pPr>
        <w:ind w:firstLine="0" w:firstLineChars="0"/>
        <w:outlineLvl w:val="1"/>
        <w:rPr>
          <w:rFonts w:asciiTheme="minorEastAsia" w:hAnsiTheme="minorEastAsia" w:cstheme="minorEastAsia"/>
          <w:b/>
          <w:bCs/>
          <w:sz w:val="30"/>
          <w:szCs w:val="30"/>
          <w:shd w:val="clear" w:color="auto" w:fill="FFFFFF"/>
        </w:rPr>
      </w:pPr>
      <w:bookmarkStart w:id="27" w:name="_Toc48062422"/>
      <w:r>
        <w:rPr>
          <w:rFonts w:hint="eastAsia" w:asciiTheme="minorEastAsia" w:hAnsiTheme="minorEastAsia" w:eastAsiaTheme="minorEastAsia" w:cstheme="minorEastAsia"/>
          <w:b/>
          <w:bCs/>
          <w:sz w:val="30"/>
          <w:szCs w:val="30"/>
          <w:shd w:val="clear" w:color="auto" w:fill="FFFFFF"/>
        </w:rPr>
        <w:t>1.5《中共教育部党组关于抓好赋予科研管理更大自主权有关文件贯彻落实工作的通知》（教党函【2019】37号）</w:t>
      </w:r>
      <w:bookmarkEnd w:id="27"/>
    </w:p>
    <w:p>
      <w:pPr>
        <w:ind w:firstLine="560"/>
        <w:outlineLvl w:val="2"/>
        <w:rPr>
          <w:rFonts w:asciiTheme="minorEastAsia" w:hAnsiTheme="minorEastAsia" w:eastAsiaTheme="minorEastAsia" w:cstheme="minorEastAsia"/>
          <w:szCs w:val="28"/>
          <w:shd w:val="clear" w:color="auto" w:fill="FFFFFF"/>
        </w:rPr>
      </w:pPr>
      <w:bookmarkStart w:id="28" w:name="_Toc48062423"/>
      <w:r>
        <w:rPr>
          <w:rFonts w:hint="eastAsia" w:asciiTheme="minorEastAsia" w:hAnsiTheme="minorEastAsia" w:eastAsiaTheme="minorEastAsia" w:cstheme="minorEastAsia"/>
          <w:bCs/>
          <w:szCs w:val="28"/>
          <w:shd w:val="clear" w:color="auto" w:fill="FFFFFF"/>
        </w:rPr>
        <w:t>教党函【2019】37号是</w:t>
      </w:r>
      <w:r>
        <w:rPr>
          <w:rFonts w:hint="eastAsia" w:asciiTheme="minorEastAsia" w:hAnsiTheme="minorEastAsia" w:eastAsiaTheme="minorEastAsia" w:cstheme="minorEastAsia"/>
          <w:szCs w:val="28"/>
          <w:shd w:val="clear" w:color="auto" w:fill="FFFFFF"/>
        </w:rPr>
        <w:t>敦促各高校落实科研管理“放管服”政策的文件，强调了凡是与党中央、国务院新政策新要求不符的管理办法，要逐一清理和修订完善，切实解决“报销繁”问题！</w:t>
      </w:r>
      <w:bookmarkEnd w:id="28"/>
    </w:p>
    <w:p>
      <w:pPr>
        <w:ind w:firstLine="280" w:firstLineChars="100"/>
        <w:outlineLvl w:val="2"/>
        <w:rPr>
          <w:rFonts w:asciiTheme="minorEastAsia" w:hAnsiTheme="minorEastAsia" w:eastAsiaTheme="minorEastAsia" w:cstheme="minorEastAsia"/>
          <w:szCs w:val="28"/>
          <w:shd w:val="clear" w:color="auto" w:fill="FFFFFF"/>
        </w:rPr>
      </w:pPr>
      <w:bookmarkStart w:id="29" w:name="_Toc48062424"/>
      <w:r>
        <w:rPr>
          <w:rFonts w:hint="eastAsia" w:asciiTheme="minorEastAsia" w:hAnsiTheme="minorEastAsia" w:eastAsiaTheme="minorEastAsia" w:cstheme="minorEastAsia"/>
          <w:szCs w:val="28"/>
          <w:shd w:val="clear" w:color="auto" w:fill="FFFFFF"/>
        </w:rPr>
        <w:t>（1）合理制定科研经费管理和政府采购管理办法。体现教学科研经费与学校行政管理经费的差异性，合理区分业务活动与公务活动。</w:t>
      </w:r>
      <w:bookmarkEnd w:id="29"/>
    </w:p>
    <w:p>
      <w:pPr>
        <w:ind w:firstLine="280" w:firstLineChars="100"/>
        <w:outlineLvl w:val="2"/>
        <w:rPr>
          <w:rFonts w:asciiTheme="minorEastAsia" w:hAnsiTheme="minorEastAsia" w:eastAsiaTheme="minorEastAsia" w:cstheme="minorEastAsia"/>
          <w:szCs w:val="28"/>
          <w:shd w:val="clear" w:color="auto" w:fill="FFFFFF"/>
        </w:rPr>
      </w:pPr>
      <w:bookmarkStart w:id="30" w:name="_Toc48062425"/>
      <w:r>
        <w:rPr>
          <w:rFonts w:hint="eastAsia" w:asciiTheme="minorEastAsia" w:hAnsiTheme="minorEastAsia" w:eastAsiaTheme="minorEastAsia" w:cstheme="minorEastAsia"/>
          <w:szCs w:val="28"/>
          <w:shd w:val="clear" w:color="auto" w:fill="FFFFFF"/>
        </w:rPr>
        <w:t>（2）落实纵向科研经费自主权。由高校结合学校实际自主确定开支标准、报销范围，优化审批程序，简化报销手续。</w:t>
      </w:r>
      <w:bookmarkEnd w:id="30"/>
    </w:p>
    <w:p>
      <w:pPr>
        <w:ind w:firstLine="280" w:firstLineChars="100"/>
        <w:outlineLvl w:val="2"/>
        <w:rPr>
          <w:rFonts w:asciiTheme="minorEastAsia" w:hAnsiTheme="minorEastAsia" w:eastAsiaTheme="minorEastAsia" w:cstheme="minorEastAsia"/>
          <w:szCs w:val="28"/>
          <w:shd w:val="clear" w:color="auto" w:fill="FFFFFF"/>
        </w:rPr>
      </w:pPr>
      <w:bookmarkStart w:id="31" w:name="_Toc48062426"/>
      <w:r>
        <w:rPr>
          <w:rFonts w:hint="eastAsia" w:asciiTheme="minorEastAsia" w:hAnsiTheme="minorEastAsia" w:eastAsiaTheme="minorEastAsia" w:cstheme="minorEastAsia"/>
          <w:szCs w:val="28"/>
          <w:shd w:val="clear" w:color="auto" w:fill="FFFFFF"/>
        </w:rPr>
        <w:t>（3）横向科研经费可按实际需要开支少量科研活动接待费。</w:t>
      </w:r>
      <w:bookmarkEnd w:id="31"/>
    </w:p>
    <w:p>
      <w:pPr>
        <w:ind w:firstLine="280" w:firstLineChars="100"/>
        <w:outlineLvl w:val="2"/>
        <w:rPr>
          <w:rFonts w:asciiTheme="minorEastAsia" w:hAnsiTheme="minorEastAsia" w:eastAsiaTheme="minorEastAsia" w:cstheme="minorEastAsia"/>
          <w:szCs w:val="28"/>
          <w:shd w:val="clear" w:color="auto" w:fill="FFFFFF"/>
        </w:rPr>
      </w:pPr>
      <w:bookmarkStart w:id="32" w:name="_Toc48062427"/>
      <w:r>
        <w:rPr>
          <w:rFonts w:hint="eastAsia" w:asciiTheme="minorEastAsia" w:hAnsiTheme="minorEastAsia" w:eastAsiaTheme="minorEastAsia" w:cstheme="minorEastAsia"/>
          <w:szCs w:val="28"/>
          <w:shd w:val="clear" w:color="auto" w:fill="FFFFFF"/>
        </w:rPr>
        <w:t>（4）加强诚信建设，引导科研人员坚守法纪底线。科研人员不得骗取、非法套取科研经费，不得把外协单位作为逃避监管的法外之地。除涉密项目外，外协安排需事前由学校有关部门在校内公示。</w:t>
      </w:r>
      <w:bookmarkEnd w:id="32"/>
    </w:p>
    <w:p>
      <w:pPr>
        <w:ind w:firstLine="0" w:firstLineChars="0"/>
        <w:outlineLvl w:val="1"/>
        <w:rPr>
          <w:rFonts w:asciiTheme="minorEastAsia" w:hAnsiTheme="minorEastAsia" w:cstheme="minorEastAsia"/>
          <w:b/>
          <w:bCs/>
          <w:sz w:val="30"/>
          <w:szCs w:val="30"/>
        </w:rPr>
      </w:pPr>
      <w:bookmarkStart w:id="33" w:name="_Toc48062428"/>
      <w:r>
        <w:rPr>
          <w:rFonts w:hint="eastAsia" w:asciiTheme="minorEastAsia" w:hAnsiTheme="minorEastAsia" w:eastAsiaTheme="minorEastAsia" w:cstheme="minorEastAsia"/>
          <w:b/>
          <w:bCs/>
          <w:sz w:val="30"/>
          <w:szCs w:val="30"/>
        </w:rPr>
        <w:t>1.6 《科技部 财政部关于进一步优化国家重点研发计划项目和资金管理的通知》（国科发资【2019】45号）</w:t>
      </w:r>
      <w:bookmarkEnd w:id="33"/>
    </w:p>
    <w:p>
      <w:pPr>
        <w:ind w:firstLine="560"/>
        <w:outlineLvl w:val="2"/>
        <w:rPr>
          <w:rFonts w:asciiTheme="minorEastAsia" w:hAnsiTheme="minorEastAsia" w:cstheme="minorEastAsia"/>
          <w:szCs w:val="28"/>
        </w:rPr>
      </w:pPr>
      <w:bookmarkStart w:id="34" w:name="_Toc48062429"/>
      <w:r>
        <w:rPr>
          <w:rFonts w:hint="eastAsia" w:asciiTheme="minorEastAsia" w:hAnsiTheme="minorEastAsia" w:cstheme="minorEastAsia"/>
          <w:bCs/>
          <w:szCs w:val="28"/>
        </w:rPr>
        <w:t>国科发资【2019】45号</w:t>
      </w:r>
      <w:r>
        <w:rPr>
          <w:rFonts w:hint="eastAsia" w:asciiTheme="minorEastAsia" w:hAnsiTheme="minorEastAsia" w:cstheme="minorEastAsia"/>
          <w:szCs w:val="28"/>
        </w:rPr>
        <w:t>是国家重点研发计划项目实施有关问题补充的通知，内含12条对科研人员利好的消息！申报国家重点研发计划项目的科研人员“福音”来了！</w:t>
      </w:r>
      <w:bookmarkEnd w:id="34"/>
    </w:p>
    <w:p>
      <w:pPr>
        <w:ind w:firstLine="280" w:firstLineChars="100"/>
        <w:outlineLvl w:val="2"/>
        <w:rPr>
          <w:rFonts w:asciiTheme="minorEastAsia" w:hAnsiTheme="minorEastAsia" w:cstheme="minorEastAsia"/>
          <w:szCs w:val="28"/>
        </w:rPr>
      </w:pPr>
      <w:bookmarkStart w:id="35" w:name="_Toc48062430"/>
      <w:r>
        <w:rPr>
          <w:rFonts w:hint="eastAsia" w:asciiTheme="minorEastAsia" w:hAnsiTheme="minorEastAsia" w:eastAsiaTheme="minorEastAsia" w:cstheme="minorEastAsia"/>
          <w:szCs w:val="28"/>
        </w:rPr>
        <w:t>（1）精简各类报表及过程检查。实现“一表多用、一表多能”，实施周期三年以下的项目，一般不开展过程检查。</w:t>
      </w:r>
      <w:bookmarkEnd w:id="35"/>
    </w:p>
    <w:p>
      <w:pPr>
        <w:ind w:firstLine="280" w:firstLineChars="100"/>
        <w:outlineLvl w:val="2"/>
        <w:rPr>
          <w:rFonts w:asciiTheme="minorEastAsia" w:hAnsiTheme="minorEastAsia" w:cstheme="minorEastAsia"/>
          <w:szCs w:val="28"/>
        </w:rPr>
      </w:pPr>
      <w:bookmarkStart w:id="36" w:name="_Toc48062431"/>
      <w:r>
        <w:rPr>
          <w:rFonts w:hint="eastAsia" w:asciiTheme="minorEastAsia" w:hAnsiTheme="minorEastAsia" w:eastAsiaTheme="minorEastAsia" w:cstheme="minorEastAsia"/>
          <w:szCs w:val="28"/>
        </w:rPr>
        <w:t>（2）全面推行信息化方式。实现项目全周期“信息一次填报、材料一次报送”。</w:t>
      </w:r>
      <w:bookmarkEnd w:id="36"/>
    </w:p>
    <w:p>
      <w:pPr>
        <w:ind w:firstLine="280" w:firstLineChars="100"/>
        <w:outlineLvl w:val="2"/>
        <w:rPr>
          <w:rFonts w:asciiTheme="minorEastAsia" w:hAnsiTheme="minorEastAsia" w:cstheme="minorEastAsia"/>
          <w:szCs w:val="28"/>
        </w:rPr>
      </w:pPr>
      <w:bookmarkStart w:id="37" w:name="_Toc48062432"/>
      <w:r>
        <w:rPr>
          <w:rFonts w:hint="eastAsia" w:asciiTheme="minorEastAsia" w:hAnsiTheme="minorEastAsia" w:eastAsiaTheme="minorEastAsia" w:cstheme="minorEastAsia"/>
          <w:szCs w:val="28"/>
        </w:rPr>
        <w:t>（3）自主调整研究方案和技术路线。科研项目实施期间，科研人员可以在研究方向不变、不降低考核指标的前提下进行调整。</w:t>
      </w:r>
      <w:bookmarkEnd w:id="37"/>
    </w:p>
    <w:p>
      <w:pPr>
        <w:ind w:firstLine="280" w:firstLineChars="100"/>
        <w:outlineLvl w:val="2"/>
        <w:rPr>
          <w:rFonts w:asciiTheme="minorEastAsia" w:hAnsiTheme="minorEastAsia" w:cstheme="minorEastAsia"/>
          <w:szCs w:val="28"/>
        </w:rPr>
      </w:pPr>
      <w:bookmarkStart w:id="38" w:name="_Toc48062433"/>
      <w:r>
        <w:rPr>
          <w:rFonts w:hint="eastAsia" w:asciiTheme="minorEastAsia" w:hAnsiTheme="minorEastAsia" w:eastAsiaTheme="minorEastAsia" w:cstheme="minorEastAsia"/>
          <w:szCs w:val="28"/>
        </w:rPr>
        <w:t>（4）简化预算编制。仅保留设备费填列明细表格，会议费/差旅费/国际合作交流费预算不超过直接费用10%的，亦无需提供测算依据。</w:t>
      </w:r>
      <w:bookmarkEnd w:id="38"/>
    </w:p>
    <w:p>
      <w:pPr>
        <w:ind w:firstLine="280" w:firstLineChars="100"/>
        <w:outlineLvl w:val="2"/>
        <w:rPr>
          <w:rFonts w:asciiTheme="minorEastAsia" w:hAnsiTheme="minorEastAsia" w:cstheme="minorEastAsia"/>
          <w:szCs w:val="28"/>
        </w:rPr>
      </w:pPr>
      <w:bookmarkStart w:id="39" w:name="_Toc48062434"/>
      <w:r>
        <w:rPr>
          <w:rFonts w:hint="eastAsia" w:asciiTheme="minorEastAsia" w:hAnsiTheme="minorEastAsia" w:eastAsiaTheme="minorEastAsia" w:cstheme="minorEastAsia"/>
          <w:szCs w:val="28"/>
        </w:rPr>
        <w:t>（5）下放调剂权限。除设备费外（调增报项目管理专业机构审批），其他科目的预算调剂权下放给承担单位。</w:t>
      </w:r>
      <w:bookmarkEnd w:id="39"/>
    </w:p>
    <w:p>
      <w:pPr>
        <w:ind w:firstLine="280" w:firstLineChars="100"/>
        <w:outlineLvl w:val="2"/>
        <w:rPr>
          <w:rFonts w:asciiTheme="minorEastAsia" w:hAnsiTheme="minorEastAsia" w:cstheme="minorEastAsia"/>
          <w:szCs w:val="28"/>
        </w:rPr>
      </w:pPr>
      <w:bookmarkStart w:id="40" w:name="_Toc48062435"/>
      <w:r>
        <w:rPr>
          <w:rFonts w:hint="eastAsia" w:asciiTheme="minorEastAsia" w:hAnsiTheme="minorEastAsia" w:eastAsiaTheme="minorEastAsia" w:cstheme="minorEastAsia"/>
          <w:szCs w:val="28"/>
        </w:rPr>
        <w:t>（6）实施一次性综合绩效评价。项目实施期满后，应当及时清理账目与资产，合并有关验收程序。</w:t>
      </w:r>
      <w:bookmarkEnd w:id="40"/>
    </w:p>
    <w:p>
      <w:pPr>
        <w:ind w:firstLine="280" w:firstLineChars="100"/>
        <w:outlineLvl w:val="2"/>
        <w:rPr>
          <w:rFonts w:asciiTheme="minorEastAsia" w:hAnsiTheme="minorEastAsia" w:cstheme="minorEastAsia"/>
          <w:szCs w:val="28"/>
        </w:rPr>
      </w:pPr>
      <w:bookmarkStart w:id="41" w:name="_Toc48062436"/>
      <w:r>
        <w:rPr>
          <w:rFonts w:hint="eastAsia" w:asciiTheme="minorEastAsia" w:hAnsiTheme="minorEastAsia" w:eastAsiaTheme="minorEastAsia" w:cstheme="minorEastAsia"/>
          <w:szCs w:val="28"/>
        </w:rPr>
        <w:t>（7）修订完善内部科研项目和资金管理制度。承担单位应进一步建立科学高效的报销管理机制，同时加强内部的政策宣传与培训。</w:t>
      </w:r>
      <w:bookmarkEnd w:id="41"/>
    </w:p>
    <w:p>
      <w:pPr>
        <w:ind w:firstLine="0" w:firstLineChars="0"/>
        <w:outlineLvl w:val="1"/>
        <w:rPr>
          <w:rFonts w:asciiTheme="minorEastAsia" w:hAnsiTheme="minorEastAsia" w:cstheme="minorEastAsia"/>
          <w:b/>
          <w:bCs/>
          <w:sz w:val="30"/>
          <w:szCs w:val="30"/>
        </w:rPr>
      </w:pPr>
      <w:bookmarkStart w:id="42" w:name="_Toc48062437"/>
      <w:r>
        <w:rPr>
          <w:rFonts w:hint="eastAsia" w:asciiTheme="minorEastAsia" w:hAnsiTheme="minorEastAsia" w:eastAsiaTheme="minorEastAsia" w:cstheme="minorEastAsia"/>
          <w:b/>
          <w:bCs/>
          <w:sz w:val="30"/>
          <w:szCs w:val="30"/>
        </w:rPr>
        <w:t>1.7《国家自然科学基金委员会关于国家自然科学基金资助项目资金管理的补充通知》（国科金发财【2018】88号）</w:t>
      </w:r>
      <w:bookmarkEnd w:id="42"/>
    </w:p>
    <w:p>
      <w:pPr>
        <w:ind w:firstLine="560"/>
        <w:outlineLvl w:val="2"/>
        <w:rPr>
          <w:rFonts w:asciiTheme="minorEastAsia" w:hAnsiTheme="minorEastAsia" w:eastAsiaTheme="minorEastAsia" w:cstheme="minorEastAsia"/>
          <w:szCs w:val="28"/>
        </w:rPr>
      </w:pPr>
      <w:bookmarkStart w:id="43" w:name="_Toc48062438"/>
      <w:r>
        <w:rPr>
          <w:rFonts w:hint="eastAsia" w:asciiTheme="minorEastAsia" w:hAnsiTheme="minorEastAsia" w:eastAsiaTheme="minorEastAsia" w:cstheme="minorEastAsia"/>
          <w:szCs w:val="28"/>
        </w:rPr>
        <w:t>国家基金委根据党中央国务院的文件精神，在原有的《国家自然科学基金资助项目资金管理办法》（财教〔2015〕15号）基础上发布</w:t>
      </w:r>
      <w:r>
        <w:rPr>
          <w:rFonts w:hint="eastAsia" w:asciiTheme="minorEastAsia" w:hAnsiTheme="minorEastAsia" w:eastAsiaTheme="minorEastAsia" w:cstheme="minorEastAsia"/>
          <w:bCs/>
          <w:szCs w:val="28"/>
        </w:rPr>
        <w:t>国科金发财【2018】88号</w:t>
      </w:r>
      <w:r>
        <w:rPr>
          <w:rFonts w:hint="eastAsia" w:asciiTheme="minorEastAsia" w:hAnsiTheme="minorEastAsia" w:eastAsiaTheme="minorEastAsia" w:cstheme="minorEastAsia"/>
          <w:szCs w:val="28"/>
        </w:rPr>
        <w:t>补充通知，坚决贯彻落实国家自然科学基金资助项目“放管服”政策！</w:t>
      </w:r>
      <w:bookmarkEnd w:id="43"/>
    </w:p>
    <w:p>
      <w:pPr>
        <w:ind w:firstLine="280" w:firstLineChars="100"/>
        <w:outlineLvl w:val="2"/>
        <w:rPr>
          <w:rFonts w:asciiTheme="minorEastAsia" w:hAnsiTheme="minorEastAsia" w:cstheme="minorEastAsia"/>
          <w:szCs w:val="28"/>
        </w:rPr>
      </w:pPr>
      <w:bookmarkStart w:id="44" w:name="_Toc48062439"/>
      <w:r>
        <w:rPr>
          <w:rFonts w:hint="eastAsia" w:asciiTheme="minorEastAsia" w:hAnsiTheme="minorEastAsia" w:eastAsiaTheme="minorEastAsia" w:cstheme="minorEastAsia"/>
          <w:szCs w:val="28"/>
        </w:rPr>
        <w:t>（1）下放调剂权限。直接费用中除设备费外，其他科目预算调整权全部下放给依托单位，设备费预算一般不予调增，如需调减的由依托单位审批。</w:t>
      </w:r>
      <w:bookmarkEnd w:id="44"/>
    </w:p>
    <w:p>
      <w:pPr>
        <w:ind w:firstLine="280" w:firstLineChars="100"/>
        <w:outlineLvl w:val="2"/>
        <w:rPr>
          <w:rFonts w:asciiTheme="minorEastAsia" w:hAnsiTheme="minorEastAsia" w:cstheme="minorEastAsia"/>
          <w:szCs w:val="28"/>
        </w:rPr>
      </w:pPr>
      <w:bookmarkStart w:id="45" w:name="_Toc48062440"/>
      <w:r>
        <w:rPr>
          <w:rFonts w:hint="eastAsia" w:asciiTheme="minorEastAsia" w:hAnsiTheme="minorEastAsia" w:eastAsiaTheme="minorEastAsia" w:cstheme="minorEastAsia"/>
          <w:szCs w:val="28"/>
        </w:rPr>
        <w:t>（2）简化报表及流程。取消依托单位项目资金年度收支报告编制报送。</w:t>
      </w:r>
      <w:bookmarkEnd w:id="45"/>
    </w:p>
    <w:p>
      <w:pPr>
        <w:ind w:firstLine="280" w:firstLineChars="100"/>
        <w:outlineLvl w:val="2"/>
        <w:rPr>
          <w:rFonts w:asciiTheme="minorEastAsia" w:hAnsiTheme="minorEastAsia" w:cstheme="minorEastAsia"/>
          <w:szCs w:val="28"/>
        </w:rPr>
      </w:pPr>
      <w:bookmarkStart w:id="46" w:name="_Toc48062441"/>
      <w:r>
        <w:rPr>
          <w:rFonts w:hint="eastAsia" w:asciiTheme="minorEastAsia" w:hAnsiTheme="minorEastAsia" w:eastAsiaTheme="minorEastAsia" w:cstheme="minorEastAsia"/>
          <w:szCs w:val="28"/>
        </w:rPr>
        <w:t>（3）建立健全学术和财务助理制度。相关费用可通过科研项目资金等渠道解决。</w:t>
      </w:r>
      <w:bookmarkEnd w:id="46"/>
    </w:p>
    <w:p>
      <w:pPr>
        <w:ind w:firstLine="280" w:firstLineChars="100"/>
        <w:outlineLvl w:val="2"/>
        <w:rPr>
          <w:rFonts w:asciiTheme="minorEastAsia" w:hAnsiTheme="minorEastAsia" w:cstheme="minorEastAsia"/>
          <w:szCs w:val="28"/>
        </w:rPr>
      </w:pPr>
      <w:bookmarkStart w:id="47" w:name="_Toc48062442"/>
      <w:r>
        <w:rPr>
          <w:rFonts w:hint="eastAsia" w:asciiTheme="minorEastAsia" w:hAnsiTheme="minorEastAsia" w:eastAsiaTheme="minorEastAsia" w:cstheme="minorEastAsia"/>
          <w:szCs w:val="28"/>
        </w:rPr>
        <w:t>（4）对于2015年（不含）以前批准资助的在研项目，其是否列支间接费用由依托单位自主决定。</w:t>
      </w:r>
      <w:bookmarkEnd w:id="47"/>
    </w:p>
    <w:p>
      <w:pPr>
        <w:ind w:firstLine="280" w:firstLineChars="100"/>
        <w:outlineLvl w:val="2"/>
        <w:rPr>
          <w:rFonts w:asciiTheme="minorEastAsia" w:hAnsiTheme="minorEastAsia" w:cstheme="minorEastAsia"/>
          <w:szCs w:val="28"/>
        </w:rPr>
      </w:pPr>
      <w:bookmarkStart w:id="48" w:name="_Toc48062443"/>
      <w:r>
        <w:rPr>
          <w:rFonts w:hint="eastAsia" w:asciiTheme="minorEastAsia" w:hAnsiTheme="minorEastAsia" w:eastAsiaTheme="minorEastAsia" w:cstheme="minorEastAsia"/>
          <w:szCs w:val="28"/>
        </w:rPr>
        <w:t>（5）项目通过结题验收，2年后（自验收结论下达后次年的1月1日起计算）结余资金仍有剩余的，应当按原渠道退回。</w:t>
      </w:r>
      <w:bookmarkEnd w:id="48"/>
    </w:p>
    <w:p>
      <w:pPr>
        <w:ind w:firstLine="0" w:firstLineChars="0"/>
        <w:outlineLvl w:val="1"/>
        <w:rPr>
          <w:rFonts w:asciiTheme="minorEastAsia" w:hAnsiTheme="minorEastAsia" w:cstheme="minorEastAsia"/>
          <w:b/>
          <w:bCs/>
          <w:sz w:val="30"/>
          <w:szCs w:val="30"/>
        </w:rPr>
      </w:pPr>
      <w:bookmarkStart w:id="49" w:name="_Toc48062444"/>
      <w:r>
        <w:rPr>
          <w:rFonts w:hint="eastAsia" w:asciiTheme="minorEastAsia" w:hAnsiTheme="minorEastAsia" w:eastAsiaTheme="minorEastAsia" w:cstheme="minorEastAsia"/>
          <w:b/>
          <w:bCs/>
          <w:sz w:val="30"/>
          <w:szCs w:val="30"/>
        </w:rPr>
        <w:t>1.8《国家自然科学基金委员会关于进一步加强依托单位科学基金管理工作的若干意见》（国科金发计【2018】105号）</w:t>
      </w:r>
      <w:bookmarkEnd w:id="49"/>
    </w:p>
    <w:p>
      <w:pPr>
        <w:ind w:firstLine="560"/>
        <w:outlineLvl w:val="2"/>
        <w:rPr>
          <w:rFonts w:asciiTheme="minorEastAsia" w:hAnsiTheme="minorEastAsia" w:eastAsiaTheme="minorEastAsia" w:cstheme="minorEastAsia"/>
          <w:szCs w:val="28"/>
        </w:rPr>
      </w:pPr>
      <w:bookmarkStart w:id="50" w:name="_Toc48062445"/>
      <w:r>
        <w:rPr>
          <w:rFonts w:hint="eastAsia" w:asciiTheme="minorEastAsia" w:hAnsiTheme="minorEastAsia" w:eastAsiaTheme="minorEastAsia" w:cstheme="minorEastAsia"/>
          <w:bCs/>
          <w:szCs w:val="28"/>
        </w:rPr>
        <w:t>国科金发计【2018】105号</w:t>
      </w:r>
      <w:r>
        <w:rPr>
          <w:rFonts w:hint="eastAsia" w:asciiTheme="minorEastAsia" w:hAnsiTheme="minorEastAsia" w:eastAsiaTheme="minorEastAsia" w:cstheme="minorEastAsia"/>
          <w:szCs w:val="28"/>
        </w:rPr>
        <w:t>是针对加强依托单位科学基金资助工作的监督管理，贯彻落实中央精神，在“放”的前提下, 不断提高依托单位的“管”和“服”的能力与水平, 提升科研人员获得感。</w:t>
      </w:r>
      <w:bookmarkEnd w:id="50"/>
    </w:p>
    <w:p>
      <w:pPr>
        <w:ind w:firstLine="280" w:firstLineChars="100"/>
        <w:outlineLvl w:val="2"/>
        <w:rPr>
          <w:rFonts w:asciiTheme="minorEastAsia" w:hAnsiTheme="minorEastAsia" w:cstheme="minorEastAsia"/>
          <w:szCs w:val="28"/>
        </w:rPr>
      </w:pPr>
      <w:bookmarkStart w:id="51" w:name="_Toc48062446"/>
      <w:r>
        <w:rPr>
          <w:rFonts w:hint="eastAsia" w:asciiTheme="minorEastAsia" w:hAnsiTheme="minorEastAsia" w:eastAsiaTheme="minorEastAsia" w:cstheme="minorEastAsia"/>
          <w:szCs w:val="28"/>
        </w:rPr>
        <w:t>（1）充分认识加强依托单位科学基金管理工作重要意义。依托单位是科学基金管理体系的重要组成部分，应当按照《条例》和自然科学基金委规范性文件的有关规定，负责任地管理科学基金工作。</w:t>
      </w:r>
      <w:bookmarkEnd w:id="51"/>
    </w:p>
    <w:p>
      <w:pPr>
        <w:ind w:firstLine="280" w:firstLineChars="100"/>
        <w:outlineLvl w:val="2"/>
        <w:rPr>
          <w:rFonts w:asciiTheme="minorEastAsia" w:hAnsiTheme="minorEastAsia" w:cstheme="minorEastAsia"/>
          <w:szCs w:val="28"/>
        </w:rPr>
      </w:pPr>
      <w:bookmarkStart w:id="52" w:name="_Toc48062447"/>
      <w:r>
        <w:rPr>
          <w:rFonts w:hint="eastAsia" w:asciiTheme="minorEastAsia" w:hAnsiTheme="minorEastAsia" w:eastAsiaTheme="minorEastAsia" w:cstheme="minorEastAsia"/>
          <w:szCs w:val="28"/>
        </w:rPr>
        <w:t>（2）认真履行管理主体责任，积极优化对科研人员的管理和服务。依托单位切实履行好项目申请、组织实施、验收结题、资金使用、成果管理和诚信建设等方面的法人管理职责。</w:t>
      </w:r>
      <w:bookmarkEnd w:id="52"/>
    </w:p>
    <w:p>
      <w:pPr>
        <w:ind w:firstLine="280" w:firstLineChars="100"/>
        <w:outlineLvl w:val="2"/>
        <w:rPr>
          <w:rFonts w:asciiTheme="minorEastAsia" w:hAnsiTheme="minorEastAsia" w:cstheme="minorEastAsia"/>
          <w:szCs w:val="28"/>
        </w:rPr>
      </w:pPr>
      <w:bookmarkStart w:id="53" w:name="_Toc48062448"/>
      <w:r>
        <w:rPr>
          <w:rFonts w:hint="eastAsia" w:asciiTheme="minorEastAsia" w:hAnsiTheme="minorEastAsia" w:eastAsiaTheme="minorEastAsia" w:cstheme="minorEastAsia"/>
          <w:szCs w:val="28"/>
        </w:rPr>
        <w:t>（3）加强科学基金组织管理和制度建设。健全完善科学基金管理体制，完善规章制度建设及内控机制，明确依托单位科学基金管理的问责问效机制。</w:t>
      </w:r>
      <w:bookmarkEnd w:id="53"/>
    </w:p>
    <w:p>
      <w:pPr>
        <w:ind w:firstLine="280" w:firstLineChars="100"/>
        <w:outlineLvl w:val="2"/>
        <w:rPr>
          <w:rFonts w:asciiTheme="minorEastAsia" w:hAnsiTheme="minorEastAsia" w:cstheme="minorEastAsia"/>
          <w:szCs w:val="28"/>
        </w:rPr>
      </w:pPr>
      <w:bookmarkStart w:id="54" w:name="_Toc48062449"/>
      <w:r>
        <w:rPr>
          <w:rFonts w:hint="eastAsia" w:asciiTheme="minorEastAsia" w:hAnsiTheme="minorEastAsia" w:eastAsiaTheme="minorEastAsia" w:cstheme="minorEastAsia"/>
          <w:szCs w:val="28"/>
        </w:rPr>
        <w:t>（4）加强和优化资助项目资金管理。建立健全项目资金管理制度，内部报销规定，落实项目预算调剂、间接费用统筹使用、劳务费分配管理、结余资金使用等管理权限，及时为科研人员办理预算调整手续。结题2年后仍有剩余的结余资金，应按有关规定原渠道退回。</w:t>
      </w:r>
      <w:bookmarkEnd w:id="54"/>
    </w:p>
    <w:p>
      <w:pPr>
        <w:pStyle w:val="11"/>
        <w:widowControl/>
        <w:shd w:val="clear" w:color="auto" w:fill="FFFFFF"/>
        <w:ind w:firstLine="0" w:firstLineChars="0"/>
        <w:jc w:val="both"/>
        <w:outlineLvl w:val="1"/>
        <w:rPr>
          <w:rFonts w:hint="default" w:asciiTheme="minorEastAsia" w:hAnsiTheme="minorEastAsia" w:cstheme="minorEastAsia"/>
          <w:b/>
          <w:bCs/>
          <w:sz w:val="30"/>
          <w:szCs w:val="30"/>
        </w:rPr>
      </w:pPr>
      <w:bookmarkStart w:id="55" w:name="_Toc48062450"/>
      <w:r>
        <w:rPr>
          <w:rFonts w:asciiTheme="minorEastAsia" w:hAnsiTheme="minorEastAsia" w:eastAsiaTheme="minorEastAsia" w:cstheme="minorEastAsia"/>
          <w:b/>
          <w:bCs/>
          <w:sz w:val="30"/>
          <w:szCs w:val="30"/>
        </w:rPr>
        <w:t>1.9</w:t>
      </w:r>
      <w:r>
        <w:rPr>
          <w:rFonts w:asciiTheme="minorEastAsia" w:hAnsiTheme="minorEastAsia" w:eastAsiaTheme="minorEastAsia" w:cstheme="minorEastAsia"/>
          <w:b/>
          <w:bCs/>
          <w:kern w:val="2"/>
          <w:sz w:val="30"/>
          <w:szCs w:val="30"/>
        </w:rPr>
        <w:t>科技部 发展改革委 财政部关于印发</w:t>
      </w:r>
      <w:r>
        <w:rPr>
          <w:rFonts w:asciiTheme="minorEastAsia" w:hAnsiTheme="minorEastAsia" w:eastAsiaTheme="minorEastAsia" w:cstheme="minorEastAsia"/>
          <w:b/>
          <w:bCs/>
          <w:sz w:val="30"/>
          <w:szCs w:val="30"/>
        </w:rPr>
        <w:t>《进一步深化管理改革激发创新活力确保完成国家科技重大专项既定目标的十项措施》（国科发重【2018】315号）</w:t>
      </w:r>
      <w:bookmarkEnd w:id="55"/>
    </w:p>
    <w:p>
      <w:pPr>
        <w:ind w:firstLine="560"/>
        <w:outlineLvl w:val="2"/>
        <w:rPr>
          <w:rFonts w:asciiTheme="minorEastAsia" w:hAnsiTheme="minorEastAsia" w:eastAsiaTheme="minorEastAsia" w:cstheme="minorEastAsia"/>
          <w:szCs w:val="28"/>
        </w:rPr>
      </w:pPr>
      <w:bookmarkStart w:id="56" w:name="_Toc48062451"/>
      <w:r>
        <w:rPr>
          <w:rFonts w:hint="eastAsia" w:asciiTheme="minorEastAsia" w:hAnsiTheme="minorEastAsia" w:cstheme="minorEastAsia"/>
          <w:szCs w:val="28"/>
        </w:rPr>
        <w:t>三部门针对</w:t>
      </w:r>
      <w:r>
        <w:rPr>
          <w:rFonts w:hint="eastAsia" w:asciiTheme="minorEastAsia" w:hAnsiTheme="minorEastAsia" w:eastAsiaTheme="minorEastAsia" w:cstheme="minorEastAsia"/>
          <w:szCs w:val="28"/>
        </w:rPr>
        <w:t>国家科技重大专项，按照明确责任、规范流程、讲求绩效、综合激励的原则，制定</w:t>
      </w:r>
      <w:r>
        <w:rPr>
          <w:rFonts w:asciiTheme="minorEastAsia" w:hAnsiTheme="minorEastAsia" w:eastAsiaTheme="minorEastAsia" w:cstheme="minorEastAsia"/>
          <w:bCs/>
          <w:szCs w:val="28"/>
        </w:rPr>
        <w:t>国科发重【2018】315号</w:t>
      </w:r>
      <w:r>
        <w:rPr>
          <w:rFonts w:hint="eastAsia" w:asciiTheme="minorEastAsia" w:hAnsiTheme="minorEastAsia" w:eastAsiaTheme="minorEastAsia" w:cstheme="minorEastAsia"/>
          <w:szCs w:val="28"/>
        </w:rPr>
        <w:t>的10项为科研人员“松绑”的措施！在这里为大家提炼了资金管理的主要内容，一起来读一读！</w:t>
      </w:r>
      <w:bookmarkEnd w:id="56"/>
    </w:p>
    <w:p>
      <w:pPr>
        <w:ind w:firstLine="280" w:firstLineChars="100"/>
        <w:outlineLvl w:val="2"/>
        <w:rPr>
          <w:rFonts w:asciiTheme="minorEastAsia" w:hAnsiTheme="minorEastAsia" w:cstheme="minorEastAsia"/>
          <w:szCs w:val="28"/>
        </w:rPr>
      </w:pPr>
      <w:bookmarkStart w:id="57" w:name="_Toc48062452"/>
      <w:r>
        <w:rPr>
          <w:rFonts w:hint="eastAsia" w:asciiTheme="minorEastAsia" w:hAnsiTheme="minorEastAsia" w:eastAsiaTheme="minorEastAsia" w:cstheme="minorEastAsia"/>
          <w:szCs w:val="28"/>
        </w:rPr>
        <w:t>（1）减少实施周期内的各类评估、检查、抽查、审计等活动。一般性课题实施周期内原则上按不超过5%的比例抽查；实施周期三年（含）以下的自由探索类基础研究课题一般不开展过程检查。</w:t>
      </w:r>
      <w:bookmarkEnd w:id="57"/>
    </w:p>
    <w:p>
      <w:pPr>
        <w:ind w:firstLine="280" w:firstLineChars="100"/>
        <w:outlineLvl w:val="2"/>
        <w:rPr>
          <w:rFonts w:asciiTheme="minorEastAsia" w:hAnsiTheme="minorEastAsia" w:cstheme="minorEastAsia"/>
          <w:szCs w:val="28"/>
        </w:rPr>
      </w:pPr>
      <w:bookmarkStart w:id="58" w:name="_Toc48062453"/>
      <w:r>
        <w:rPr>
          <w:rFonts w:hint="eastAsia" w:asciiTheme="minorEastAsia" w:hAnsiTheme="minorEastAsia" w:eastAsiaTheme="minorEastAsia" w:cstheme="minorEastAsia"/>
          <w:szCs w:val="28"/>
        </w:rPr>
        <w:t>（2）精简上报材料及验收程序。推行“材料一次报送”制度，实施一次性综合绩效评价，不再单独组织财务验收和档案验收。</w:t>
      </w:r>
      <w:bookmarkEnd w:id="58"/>
    </w:p>
    <w:p>
      <w:pPr>
        <w:ind w:firstLine="280" w:firstLineChars="100"/>
        <w:outlineLvl w:val="2"/>
        <w:rPr>
          <w:rFonts w:asciiTheme="minorEastAsia" w:hAnsiTheme="minorEastAsia" w:cstheme="minorEastAsia"/>
          <w:szCs w:val="28"/>
        </w:rPr>
      </w:pPr>
      <w:bookmarkStart w:id="59" w:name="_Toc48062454"/>
      <w:r>
        <w:rPr>
          <w:rFonts w:hint="eastAsia" w:asciiTheme="minorEastAsia" w:hAnsiTheme="minorEastAsia" w:eastAsiaTheme="minorEastAsia" w:cstheme="minorEastAsia"/>
          <w:szCs w:val="28"/>
        </w:rPr>
        <w:t>（3）赋予更大的技术路线决策权。课题负责人可在研究方向不变、不降低申报指标的前提下自主调整方案路线。</w:t>
      </w:r>
      <w:bookmarkEnd w:id="59"/>
    </w:p>
    <w:p>
      <w:pPr>
        <w:ind w:firstLine="280" w:firstLineChars="100"/>
        <w:outlineLvl w:val="2"/>
        <w:rPr>
          <w:rFonts w:asciiTheme="minorEastAsia" w:hAnsiTheme="minorEastAsia" w:cstheme="minorEastAsia"/>
          <w:szCs w:val="28"/>
        </w:rPr>
      </w:pPr>
      <w:bookmarkStart w:id="60" w:name="_Toc48062455"/>
      <w:r>
        <w:rPr>
          <w:rFonts w:hint="eastAsia" w:asciiTheme="minorEastAsia" w:hAnsiTheme="minorEastAsia" w:eastAsiaTheme="minorEastAsia" w:cstheme="minorEastAsia"/>
          <w:szCs w:val="28"/>
        </w:rPr>
        <w:t>（4）下放经费管理使用自主权。直接费用中除设备费外，其他科目费用调剂权全部下放给课题承担单位。单位应完善管理制度，及时为科研人员办理调剂手续。</w:t>
      </w:r>
      <w:bookmarkEnd w:id="60"/>
    </w:p>
    <w:p>
      <w:pPr>
        <w:ind w:firstLine="280" w:firstLineChars="100"/>
        <w:outlineLvl w:val="2"/>
        <w:rPr>
          <w:rFonts w:asciiTheme="minorEastAsia" w:hAnsiTheme="minorEastAsia" w:eastAsiaTheme="minorEastAsia" w:cstheme="minorEastAsia"/>
          <w:szCs w:val="28"/>
        </w:rPr>
      </w:pPr>
      <w:bookmarkStart w:id="61" w:name="_Toc48062456"/>
      <w:r>
        <w:rPr>
          <w:rFonts w:hint="eastAsia" w:asciiTheme="minorEastAsia" w:hAnsiTheme="minorEastAsia" w:eastAsiaTheme="minorEastAsia" w:cstheme="minorEastAsia"/>
          <w:szCs w:val="28"/>
        </w:rPr>
        <w:t>（5）简化预算编制，直接费用中除设备费外，其他费用只提供基本测算说明。</w:t>
      </w:r>
      <w:bookmarkEnd w:id="61"/>
    </w:p>
    <w:p>
      <w:pPr>
        <w:ind w:firstLine="280" w:firstLineChars="100"/>
        <w:outlineLvl w:val="2"/>
        <w:rPr>
          <w:rFonts w:asciiTheme="minorEastAsia" w:hAnsiTheme="minorEastAsia" w:cstheme="minorEastAsia"/>
          <w:szCs w:val="28"/>
        </w:rPr>
      </w:pPr>
      <w:bookmarkStart w:id="62" w:name="_Toc48062457"/>
      <w:r>
        <w:rPr>
          <w:rFonts w:hint="eastAsia" w:asciiTheme="minorEastAsia" w:hAnsiTheme="minorEastAsia" w:eastAsiaTheme="minorEastAsia" w:cstheme="minorEastAsia"/>
          <w:szCs w:val="28"/>
        </w:rPr>
        <w:t>（6）统筹结余经费管理。课题一次性通过验收，且承担单位信用评价良好，结余资金按规定留归承担单位使用，统筹用于科研活动的直接支出。2年（自验收结论下达后次年的1月1日起计算）后结余资金未使用完的，按规定原渠道收回。</w:t>
      </w:r>
      <w:bookmarkEnd w:id="62"/>
    </w:p>
    <w:p>
      <w:pPr>
        <w:ind w:firstLine="0" w:firstLineChars="0"/>
        <w:outlineLvl w:val="1"/>
        <w:rPr>
          <w:rFonts w:asciiTheme="minorEastAsia" w:hAnsiTheme="minorEastAsia" w:cstheme="minorEastAsia"/>
          <w:b/>
          <w:bCs/>
          <w:sz w:val="30"/>
          <w:szCs w:val="30"/>
        </w:rPr>
      </w:pPr>
      <w:bookmarkStart w:id="63" w:name="_Toc48062458"/>
      <w:r>
        <w:rPr>
          <w:rFonts w:hint="eastAsia" w:asciiTheme="minorEastAsia" w:hAnsiTheme="minorEastAsia" w:eastAsiaTheme="minorEastAsia" w:cstheme="minorEastAsia"/>
          <w:b/>
          <w:bCs/>
          <w:sz w:val="30"/>
          <w:szCs w:val="30"/>
        </w:rPr>
        <w:t>1.10《关于进一步完善科学基金项目和资金管理的通知》（国科金发财【2019】31号）</w:t>
      </w:r>
      <w:bookmarkEnd w:id="63"/>
    </w:p>
    <w:p>
      <w:pPr>
        <w:ind w:firstLine="560"/>
        <w:outlineLvl w:val="2"/>
        <w:rPr>
          <w:rFonts w:asciiTheme="minorEastAsia" w:hAnsiTheme="minorEastAsia" w:cstheme="minorEastAsia"/>
          <w:szCs w:val="28"/>
        </w:rPr>
      </w:pPr>
      <w:bookmarkStart w:id="64" w:name="_Toc48062459"/>
      <w:r>
        <w:rPr>
          <w:rFonts w:hint="eastAsia" w:asciiTheme="minorEastAsia" w:hAnsiTheme="minorEastAsia" w:cstheme="minorEastAsia"/>
          <w:szCs w:val="28"/>
        </w:rPr>
        <w:t>《通知》在国家自然科学基金项目的管理实施上继续“一放再放”，并实行无纸化</w:t>
      </w:r>
      <w:r>
        <w:rPr>
          <w:rFonts w:hint="eastAsia" w:ascii="宋体" w:hAnsi="宋体" w:cs="宋体"/>
          <w:color w:val="323232"/>
          <w:szCs w:val="28"/>
          <w:shd w:val="clear" w:color="auto" w:fill="FFFFFF"/>
        </w:rPr>
        <w:t>报送决算汇总表，继续扩大项目无纸化申请试点范围，利用网络技术实实在在地为科研人员减“重”！</w:t>
      </w:r>
      <w:bookmarkEnd w:id="64"/>
    </w:p>
    <w:p>
      <w:pPr>
        <w:ind w:firstLine="280" w:firstLineChars="100"/>
        <w:outlineLvl w:val="2"/>
        <w:rPr>
          <w:rFonts w:asciiTheme="minorEastAsia" w:hAnsiTheme="minorEastAsia" w:cstheme="minorEastAsia"/>
          <w:szCs w:val="28"/>
        </w:rPr>
      </w:pPr>
      <w:bookmarkStart w:id="65" w:name="_Toc48062460"/>
      <w:r>
        <w:rPr>
          <w:rFonts w:hint="eastAsia" w:asciiTheme="minorEastAsia" w:hAnsiTheme="minorEastAsia" w:eastAsiaTheme="minorEastAsia" w:cstheme="minorEastAsia"/>
          <w:szCs w:val="28"/>
        </w:rPr>
        <w:t>（1）精简信息填报和材料报送。取消依托单位项目资金年度收支报告编制报送，决算汇总表无需报送纸质文件。</w:t>
      </w:r>
      <w:bookmarkEnd w:id="65"/>
    </w:p>
    <w:p>
      <w:pPr>
        <w:ind w:firstLine="280" w:firstLineChars="100"/>
        <w:outlineLvl w:val="2"/>
        <w:rPr>
          <w:rFonts w:asciiTheme="minorEastAsia" w:hAnsiTheme="minorEastAsia" w:cstheme="minorEastAsia"/>
          <w:szCs w:val="28"/>
        </w:rPr>
      </w:pPr>
      <w:bookmarkStart w:id="66" w:name="_Toc48062461"/>
      <w:r>
        <w:rPr>
          <w:rFonts w:hint="eastAsia" w:asciiTheme="minorEastAsia" w:hAnsiTheme="minorEastAsia" w:eastAsiaTheme="minorEastAsia" w:cstheme="minorEastAsia"/>
          <w:szCs w:val="28"/>
        </w:rPr>
        <w:t>（2）简化项目预算编制要求及过程检查。定额补助式项目只需提供基本测算说明，成本补偿式项目只需提供必要的测算过程说明。面上项目、青年科学基金项目、地区科学基金项目等一般不开展过程检查，仅在必要时进行抽查。</w:t>
      </w:r>
      <w:bookmarkEnd w:id="66"/>
    </w:p>
    <w:p>
      <w:pPr>
        <w:ind w:firstLine="280" w:firstLineChars="100"/>
        <w:outlineLvl w:val="2"/>
        <w:rPr>
          <w:rFonts w:asciiTheme="minorEastAsia" w:hAnsiTheme="minorEastAsia" w:eastAsiaTheme="minorEastAsia" w:cstheme="minorEastAsia"/>
          <w:szCs w:val="28"/>
        </w:rPr>
      </w:pPr>
      <w:bookmarkStart w:id="67" w:name="_Toc48062462"/>
      <w:r>
        <w:rPr>
          <w:rFonts w:hint="eastAsia" w:asciiTheme="minorEastAsia" w:hAnsiTheme="minorEastAsia" w:eastAsiaTheme="minorEastAsia" w:cstheme="minorEastAsia"/>
          <w:szCs w:val="28"/>
        </w:rPr>
        <w:t>（3）赋予科研人员更大技术路线决策权。项目负责人可在不改变研究或技术指标的前提下，自行决定研究方案或技术路线。</w:t>
      </w:r>
      <w:bookmarkEnd w:id="67"/>
    </w:p>
    <w:p>
      <w:pPr>
        <w:ind w:firstLine="280" w:firstLineChars="100"/>
        <w:outlineLvl w:val="2"/>
        <w:rPr>
          <w:rFonts w:asciiTheme="minorEastAsia" w:hAnsiTheme="minorEastAsia" w:cstheme="minorEastAsia"/>
          <w:szCs w:val="28"/>
        </w:rPr>
      </w:pPr>
      <w:bookmarkStart w:id="68" w:name="_Toc48062463"/>
      <w:r>
        <w:rPr>
          <w:rFonts w:hint="eastAsia" w:asciiTheme="minorEastAsia" w:hAnsiTheme="minorEastAsia" w:eastAsiaTheme="minorEastAsia" w:cstheme="minorEastAsia"/>
          <w:szCs w:val="28"/>
        </w:rPr>
        <w:t>（4）下放项目经费管理使用自主权。科学基金项目直接费用除设备费外，其他科目预算调剂权全部下放给依托单位。设备费预算一般不予调增，确需调增报自然科学基金委审批；设备费调减、内部预算结构调整、拟购置设备明细发生变化的，由依托单位审批。</w:t>
      </w:r>
      <w:bookmarkEnd w:id="68"/>
    </w:p>
    <w:p>
      <w:pPr>
        <w:ind w:firstLine="280" w:firstLineChars="100"/>
        <w:outlineLvl w:val="2"/>
        <w:rPr>
          <w:rFonts w:asciiTheme="minorEastAsia" w:hAnsiTheme="minorEastAsia" w:cstheme="minorEastAsia"/>
          <w:szCs w:val="28"/>
        </w:rPr>
      </w:pPr>
      <w:bookmarkStart w:id="69" w:name="_Toc48062464"/>
      <w:r>
        <w:rPr>
          <w:rFonts w:hint="eastAsia" w:asciiTheme="minorEastAsia" w:hAnsiTheme="minorEastAsia" w:eastAsiaTheme="minorEastAsia" w:cstheme="minorEastAsia"/>
          <w:szCs w:val="28"/>
        </w:rPr>
        <w:t>（5）规范结题财务审计。成本补偿式项目自主选择具备资质的第三方机构完成结题财务审计，由自然科学基金委组织专家组一并完成项目和财务验收程序。</w:t>
      </w:r>
      <w:bookmarkEnd w:id="69"/>
    </w:p>
    <w:p>
      <w:pPr>
        <w:ind w:firstLine="280" w:firstLineChars="100"/>
        <w:outlineLvl w:val="2"/>
        <w:rPr>
          <w:rFonts w:asciiTheme="minorEastAsia" w:hAnsiTheme="minorEastAsia" w:eastAsiaTheme="minorEastAsia" w:cstheme="minorEastAsia"/>
          <w:szCs w:val="28"/>
        </w:rPr>
      </w:pPr>
      <w:bookmarkStart w:id="70" w:name="_Toc48062465"/>
      <w:r>
        <w:rPr>
          <w:rFonts w:hint="eastAsia" w:asciiTheme="minorEastAsia" w:hAnsiTheme="minorEastAsia" w:eastAsiaTheme="minorEastAsia" w:cstheme="minorEastAsia"/>
          <w:szCs w:val="28"/>
        </w:rPr>
        <w:t>（6）强化依托单位主体责任。依托单位要根据科研工作的特点，对科研需要的出差和会议按标准报销，进一步建立科学高效的报销管理机制，并加快建立健全学术和财务助理制度。</w:t>
      </w:r>
      <w:bookmarkEnd w:id="70"/>
    </w:p>
    <w:p>
      <w:pPr>
        <w:ind w:firstLine="0" w:firstLineChars="0"/>
        <w:outlineLvl w:val="1"/>
        <w:rPr>
          <w:rFonts w:asciiTheme="minorEastAsia" w:hAnsiTheme="minorEastAsia" w:cstheme="minorEastAsia"/>
          <w:b/>
          <w:bCs/>
          <w:sz w:val="30"/>
          <w:szCs w:val="30"/>
          <w:shd w:val="clear" w:color="auto" w:fill="FFFFFF"/>
        </w:rPr>
      </w:pPr>
      <w:bookmarkStart w:id="71" w:name="_Toc48062466"/>
      <w:r>
        <w:rPr>
          <w:rFonts w:hint="eastAsia" w:asciiTheme="minorEastAsia" w:hAnsiTheme="minorEastAsia" w:eastAsiaTheme="minorEastAsia" w:cstheme="minorEastAsia"/>
          <w:b/>
          <w:bCs/>
          <w:sz w:val="30"/>
          <w:szCs w:val="30"/>
          <w:shd w:val="clear" w:color="auto" w:fill="FFFFFF"/>
        </w:rPr>
        <w:t>1.11《国家社会科学基金项目资金管理办法》（财教【2016】304号）</w:t>
      </w:r>
      <w:bookmarkEnd w:id="71"/>
    </w:p>
    <w:p>
      <w:pPr>
        <w:ind w:firstLine="560"/>
        <w:outlineLvl w:val="2"/>
        <w:rPr>
          <w:rFonts w:asciiTheme="minorEastAsia" w:hAnsiTheme="minorEastAsia" w:eastAsiaTheme="minorEastAsia" w:cstheme="minorEastAsia"/>
          <w:szCs w:val="28"/>
          <w:shd w:val="clear" w:color="auto" w:fill="FFFFFF"/>
        </w:rPr>
      </w:pPr>
      <w:bookmarkStart w:id="72" w:name="_Toc48062467"/>
      <w:r>
        <w:rPr>
          <w:rFonts w:hint="eastAsia" w:asciiTheme="minorEastAsia" w:hAnsiTheme="minorEastAsia" w:eastAsiaTheme="minorEastAsia" w:cstheme="minorEastAsia"/>
          <w:szCs w:val="28"/>
          <w:shd w:val="clear" w:color="auto" w:fill="FFFFFF"/>
        </w:rPr>
        <w:t>哲学社会科学研究是一种特殊的精神劳动，与自然科学研究有着明显不同，因此社会科学基金项目的管理与实施上(资金开支范围、预算编制、执行与决算) 也与自然科学项目有区别。所以大家要注意区分！</w:t>
      </w:r>
      <w:bookmarkEnd w:id="72"/>
    </w:p>
    <w:p>
      <w:pPr>
        <w:ind w:firstLine="560"/>
        <w:outlineLvl w:val="2"/>
        <w:rPr>
          <w:rFonts w:ascii="宋体" w:hAnsi="宋体" w:cs="宋体"/>
          <w:color w:val="000000"/>
          <w:sz w:val="21"/>
          <w:szCs w:val="21"/>
          <w:shd w:val="clear" w:color="auto" w:fill="F1F1F1"/>
        </w:rPr>
      </w:pPr>
      <w:bookmarkStart w:id="73" w:name="_Toc48062468"/>
      <w:r>
        <w:rPr>
          <w:rFonts w:hint="eastAsia" w:asciiTheme="minorEastAsia" w:hAnsiTheme="minorEastAsia" w:eastAsiaTheme="minorEastAsia" w:cstheme="minorEastAsia"/>
          <w:bCs/>
          <w:szCs w:val="28"/>
          <w:shd w:val="clear" w:color="auto" w:fill="FFFFFF"/>
        </w:rPr>
        <w:t>财教【2016】304号</w:t>
      </w:r>
      <w:r>
        <w:rPr>
          <w:rFonts w:hint="eastAsia" w:asciiTheme="minorEastAsia" w:hAnsiTheme="minorEastAsia" w:eastAsiaTheme="minorEastAsia" w:cstheme="minorEastAsia"/>
          <w:szCs w:val="28"/>
          <w:shd w:val="clear" w:color="auto" w:fill="FFFFFF"/>
        </w:rPr>
        <w:t>是国家级别对于社科项目的纲领性管理文件，值得阅读全文细品。</w:t>
      </w:r>
      <w:bookmarkEnd w:id="73"/>
    </w:p>
    <w:p>
      <w:pPr>
        <w:ind w:firstLine="338" w:firstLineChars="121"/>
        <w:outlineLvl w:val="2"/>
        <w:rPr>
          <w:rFonts w:asciiTheme="minorEastAsia" w:hAnsiTheme="minorEastAsia" w:cstheme="minorEastAsia"/>
          <w:szCs w:val="28"/>
          <w:shd w:val="clear" w:color="auto" w:fill="FFFFFF"/>
        </w:rPr>
      </w:pPr>
      <w:bookmarkStart w:id="74" w:name="_Toc48062469"/>
      <w:r>
        <w:rPr>
          <w:rFonts w:hint="eastAsia" w:asciiTheme="minorEastAsia" w:hAnsiTheme="minorEastAsia" w:eastAsiaTheme="minorEastAsia" w:cstheme="minorEastAsia"/>
          <w:szCs w:val="28"/>
          <w:shd w:val="clear" w:color="auto" w:fill="FFFFFF"/>
        </w:rPr>
        <w:t>（1）项目资金开支范围。</w:t>
      </w:r>
      <w:bookmarkEnd w:id="74"/>
    </w:p>
    <w:p>
      <w:pPr>
        <w:ind w:firstLine="560"/>
        <w:outlineLvl w:val="2"/>
        <w:rPr>
          <w:rFonts w:asciiTheme="minorEastAsia" w:hAnsiTheme="minorEastAsia" w:cstheme="minorEastAsia"/>
          <w:szCs w:val="28"/>
          <w:shd w:val="clear" w:color="auto" w:fill="FFFFFF"/>
        </w:rPr>
      </w:pPr>
      <w:bookmarkStart w:id="75" w:name="_Toc48062470"/>
      <w:r>
        <w:rPr>
          <w:rFonts w:hint="eastAsia" w:asciiTheme="minorEastAsia" w:hAnsiTheme="minorEastAsia" w:eastAsiaTheme="minorEastAsia" w:cstheme="minorEastAsia"/>
          <w:szCs w:val="28"/>
          <w:shd w:val="clear" w:color="auto" w:fill="FFFFFF"/>
        </w:rPr>
        <w:t>会议费/差旅费/国际合作与交流费合并为一个科目，不超过直接费用20%的，无需提供测算依据。</w:t>
      </w:r>
      <w:bookmarkEnd w:id="75"/>
    </w:p>
    <w:p>
      <w:pPr>
        <w:ind w:firstLine="560"/>
        <w:outlineLvl w:val="2"/>
        <w:rPr>
          <w:rFonts w:asciiTheme="minorEastAsia" w:hAnsiTheme="minorEastAsia" w:cstheme="minorEastAsia"/>
          <w:szCs w:val="28"/>
          <w:shd w:val="clear" w:color="auto" w:fill="FFFFFF"/>
        </w:rPr>
      </w:pPr>
      <w:bookmarkStart w:id="76" w:name="_Toc48062471"/>
      <w:r>
        <w:rPr>
          <w:rFonts w:hint="eastAsia" w:asciiTheme="minorEastAsia" w:hAnsiTheme="minorEastAsia" w:eastAsiaTheme="minorEastAsia" w:cstheme="minorEastAsia"/>
          <w:szCs w:val="28"/>
          <w:shd w:val="clear" w:color="auto" w:fill="FFFFFF"/>
        </w:rPr>
        <w:t>设备费注意和办公用品区分。电脑、打印机、数码相机及其耗材等属于设备，笔墨纸张、文件夹属于办公用品。</w:t>
      </w:r>
      <w:bookmarkEnd w:id="76"/>
    </w:p>
    <w:p>
      <w:pPr>
        <w:ind w:firstLine="560"/>
        <w:outlineLvl w:val="2"/>
        <w:rPr>
          <w:rFonts w:asciiTheme="minorEastAsia" w:hAnsiTheme="minorEastAsia" w:cstheme="minorEastAsia"/>
          <w:szCs w:val="28"/>
          <w:shd w:val="clear" w:color="auto" w:fill="FFFFFF"/>
        </w:rPr>
      </w:pPr>
      <w:bookmarkStart w:id="77" w:name="_Toc48062472"/>
      <w:r>
        <w:rPr>
          <w:rFonts w:hint="eastAsia" w:asciiTheme="minorEastAsia" w:hAnsiTheme="minorEastAsia" w:eastAsiaTheme="minorEastAsia" w:cstheme="minorEastAsia"/>
          <w:szCs w:val="28"/>
          <w:shd w:val="clear" w:color="auto" w:fill="FFFFFF"/>
        </w:rPr>
        <w:t>国家社科基金项目资金不得支出论文发表版面费，不得列支印刷出版费。除后期资助项目、中华学术外译项目外，国家社科基金其他类别项目的最终成果出版费也不得列支印刷出版费。</w:t>
      </w:r>
      <w:bookmarkEnd w:id="77"/>
    </w:p>
    <w:p>
      <w:pPr>
        <w:ind w:firstLine="560"/>
        <w:outlineLvl w:val="2"/>
        <w:rPr>
          <w:rFonts w:asciiTheme="minorEastAsia" w:hAnsiTheme="minorEastAsia" w:cstheme="minorEastAsia"/>
          <w:szCs w:val="28"/>
          <w:shd w:val="clear" w:color="auto" w:fill="FFFFFF"/>
        </w:rPr>
      </w:pPr>
      <w:bookmarkStart w:id="78" w:name="_Toc48062473"/>
      <w:r>
        <w:rPr>
          <w:rFonts w:hint="eastAsia" w:asciiTheme="minorEastAsia" w:hAnsiTheme="minorEastAsia" w:eastAsiaTheme="minorEastAsia" w:cstheme="minorEastAsia"/>
          <w:szCs w:val="28"/>
          <w:shd w:val="clear" w:color="auto" w:fill="FFFFFF"/>
        </w:rPr>
        <w:t>专家咨询费支出标准应当按照国家有关规定执行。专家咨询费不得支付给本课题组成员以及履行项目管理职务行为的相关工作人员。</w:t>
      </w:r>
      <w:bookmarkEnd w:id="78"/>
    </w:p>
    <w:p>
      <w:pPr>
        <w:ind w:firstLine="560"/>
        <w:outlineLvl w:val="2"/>
        <w:rPr>
          <w:rFonts w:asciiTheme="minorEastAsia" w:hAnsiTheme="minorEastAsia" w:cstheme="minorEastAsia"/>
          <w:szCs w:val="28"/>
          <w:shd w:val="clear" w:color="auto" w:fill="FFFFFF"/>
        </w:rPr>
      </w:pPr>
      <w:bookmarkStart w:id="79" w:name="_Toc48062474"/>
      <w:r>
        <w:rPr>
          <w:rFonts w:hint="eastAsia" w:asciiTheme="minorEastAsia" w:hAnsiTheme="minorEastAsia" w:eastAsiaTheme="minorEastAsia" w:cstheme="minorEastAsia"/>
          <w:szCs w:val="28"/>
          <w:shd w:val="clear" w:color="auto" w:fill="FFFFFF"/>
        </w:rPr>
        <w:t>间接费用采用分段超额累退比例法计算，50万元及以下部分为30%；50万元至500万元的部分为20%；超过500万元的部分为13%。</w:t>
      </w:r>
      <w:bookmarkEnd w:id="79"/>
    </w:p>
    <w:p>
      <w:pPr>
        <w:ind w:firstLine="478" w:firstLineChars="171"/>
        <w:outlineLvl w:val="2"/>
        <w:rPr>
          <w:rFonts w:asciiTheme="minorEastAsia" w:hAnsiTheme="minorEastAsia" w:cstheme="minorEastAsia"/>
          <w:szCs w:val="28"/>
          <w:shd w:val="clear" w:color="auto" w:fill="FFFFFF"/>
        </w:rPr>
      </w:pPr>
      <w:bookmarkStart w:id="80" w:name="_Toc48062475"/>
      <w:r>
        <w:rPr>
          <w:rFonts w:hint="eastAsia" w:asciiTheme="minorEastAsia" w:hAnsiTheme="minorEastAsia" w:eastAsiaTheme="minorEastAsia" w:cstheme="minorEastAsia"/>
          <w:szCs w:val="28"/>
          <w:shd w:val="clear" w:color="auto" w:fill="FFFFFF"/>
        </w:rPr>
        <w:t>（2）预算的编制与审核注意事项。</w:t>
      </w:r>
      <w:bookmarkEnd w:id="80"/>
    </w:p>
    <w:p>
      <w:pPr>
        <w:ind w:firstLine="560"/>
        <w:outlineLvl w:val="2"/>
        <w:rPr>
          <w:rFonts w:asciiTheme="minorEastAsia" w:hAnsiTheme="minorEastAsia" w:cstheme="minorEastAsia"/>
          <w:szCs w:val="28"/>
          <w:shd w:val="clear" w:color="auto" w:fill="FFFFFF"/>
        </w:rPr>
      </w:pPr>
      <w:bookmarkStart w:id="81" w:name="_Toc48062476"/>
      <w:r>
        <w:rPr>
          <w:rFonts w:hint="eastAsia" w:asciiTheme="minorEastAsia" w:hAnsiTheme="minorEastAsia" w:eastAsiaTheme="minorEastAsia" w:cstheme="minorEastAsia"/>
          <w:szCs w:val="28"/>
          <w:shd w:val="clear" w:color="auto" w:fill="FFFFFF"/>
        </w:rPr>
        <w:t>项目负责人应在收到立项通知之日起30日内完成预算编制。</w:t>
      </w:r>
      <w:bookmarkEnd w:id="81"/>
    </w:p>
    <w:p>
      <w:pPr>
        <w:ind w:firstLine="560"/>
        <w:outlineLvl w:val="2"/>
        <w:rPr>
          <w:rFonts w:asciiTheme="minorEastAsia" w:hAnsiTheme="minorEastAsia" w:cstheme="minorEastAsia"/>
          <w:szCs w:val="28"/>
          <w:shd w:val="clear" w:color="auto" w:fill="FFFFFF"/>
        </w:rPr>
      </w:pPr>
      <w:bookmarkStart w:id="82" w:name="_Toc48062477"/>
      <w:r>
        <w:rPr>
          <w:rFonts w:hint="eastAsia" w:asciiTheme="minorEastAsia" w:hAnsiTheme="minorEastAsia" w:eastAsiaTheme="minorEastAsia" w:cstheme="minorEastAsia"/>
          <w:szCs w:val="28"/>
          <w:shd w:val="clear" w:color="auto" w:fill="FFFFFF"/>
        </w:rPr>
        <w:t>跨单位合作的外拨资金应当在项目预算中单独列示，并附外拨资金直接费用支出预算。间接费用外拨金额，由责任单位和合作研究单位协商确定。</w:t>
      </w:r>
      <w:bookmarkEnd w:id="82"/>
    </w:p>
    <w:p>
      <w:pPr>
        <w:ind w:firstLine="478" w:firstLineChars="171"/>
        <w:outlineLvl w:val="2"/>
        <w:rPr>
          <w:rFonts w:asciiTheme="minorEastAsia" w:hAnsiTheme="minorEastAsia" w:cstheme="minorEastAsia"/>
          <w:szCs w:val="28"/>
          <w:shd w:val="clear" w:color="auto" w:fill="FFFFFF"/>
        </w:rPr>
      </w:pPr>
      <w:bookmarkStart w:id="83" w:name="_Toc48062478"/>
      <w:r>
        <w:rPr>
          <w:rFonts w:hint="eastAsia" w:asciiTheme="minorEastAsia" w:hAnsiTheme="minorEastAsia" w:eastAsiaTheme="minorEastAsia" w:cstheme="minorEastAsia"/>
          <w:szCs w:val="28"/>
          <w:shd w:val="clear" w:color="auto" w:fill="FFFFFF"/>
        </w:rPr>
        <w:t>（3）预算执行与决算。</w:t>
      </w:r>
      <w:bookmarkEnd w:id="83"/>
    </w:p>
    <w:p>
      <w:pPr>
        <w:ind w:firstLine="560"/>
        <w:outlineLvl w:val="2"/>
        <w:rPr>
          <w:rFonts w:asciiTheme="minorEastAsia" w:hAnsiTheme="minorEastAsia" w:cstheme="minorEastAsia"/>
          <w:szCs w:val="28"/>
          <w:shd w:val="clear" w:color="auto" w:fill="FFFFFF"/>
        </w:rPr>
      </w:pPr>
      <w:bookmarkStart w:id="84" w:name="_Toc48062479"/>
      <w:r>
        <w:rPr>
          <w:rFonts w:hint="eastAsia" w:asciiTheme="minorEastAsia" w:hAnsiTheme="minorEastAsia" w:eastAsiaTheme="minorEastAsia" w:cstheme="minorEastAsia"/>
          <w:szCs w:val="28"/>
          <w:shd w:val="clear" w:color="auto" w:fill="FFFFFF"/>
        </w:rPr>
        <w:t>项目预算有以下情况需调剂的，应报全国社科规划办审批：研究内容或者计划作出重大调整等原因，需要变更项目预算总额；原项目预算需增列外拨资金。</w:t>
      </w:r>
      <w:bookmarkEnd w:id="84"/>
    </w:p>
    <w:p>
      <w:pPr>
        <w:ind w:firstLine="560"/>
        <w:outlineLvl w:val="2"/>
        <w:rPr>
          <w:rFonts w:asciiTheme="minorEastAsia" w:hAnsiTheme="minorEastAsia" w:cstheme="minorEastAsia"/>
          <w:szCs w:val="28"/>
          <w:shd w:val="clear" w:color="auto" w:fill="FFFFFF"/>
        </w:rPr>
      </w:pPr>
      <w:bookmarkStart w:id="85" w:name="_Toc48062480"/>
      <w:r>
        <w:rPr>
          <w:rFonts w:hint="eastAsia" w:asciiTheme="minorEastAsia" w:hAnsiTheme="minorEastAsia" w:eastAsiaTheme="minorEastAsia" w:cstheme="minorEastAsia"/>
          <w:szCs w:val="28"/>
          <w:shd w:val="clear" w:color="auto" w:fill="FFFFFF"/>
        </w:rPr>
        <w:t>结题2年后仍有剩余的结余资金，应按有关规定原渠道退回。</w:t>
      </w:r>
      <w:bookmarkEnd w:id="85"/>
    </w:p>
    <w:p>
      <w:pPr>
        <w:ind w:firstLine="0" w:firstLineChars="0"/>
        <w:outlineLvl w:val="1"/>
        <w:rPr>
          <w:rFonts w:asciiTheme="minorEastAsia" w:hAnsiTheme="minorEastAsia" w:cstheme="minorEastAsia"/>
          <w:b/>
          <w:bCs/>
          <w:sz w:val="30"/>
          <w:szCs w:val="30"/>
          <w:shd w:val="clear" w:color="auto" w:fill="FFFFFF"/>
        </w:rPr>
      </w:pPr>
      <w:bookmarkStart w:id="86" w:name="_Toc48062481"/>
      <w:r>
        <w:rPr>
          <w:rFonts w:hint="eastAsia" w:asciiTheme="minorEastAsia" w:hAnsiTheme="minorEastAsia" w:eastAsiaTheme="minorEastAsia" w:cstheme="minorEastAsia"/>
          <w:b/>
          <w:bCs/>
          <w:sz w:val="30"/>
          <w:szCs w:val="30"/>
          <w:shd w:val="clear" w:color="auto" w:fill="FFFFFF"/>
        </w:rPr>
        <w:t>1.12 《全国哲学社会科学工作领导小组财政部关于进一步完善国家社会科学基金项目管理的有关规定》（社科工作领字【2019】1号）</w:t>
      </w:r>
      <w:bookmarkEnd w:id="86"/>
    </w:p>
    <w:p>
      <w:pPr>
        <w:ind w:firstLine="560"/>
        <w:outlineLvl w:val="2"/>
        <w:rPr>
          <w:rFonts w:asciiTheme="minorEastAsia" w:hAnsiTheme="minorEastAsia" w:cstheme="minorEastAsia"/>
          <w:szCs w:val="28"/>
          <w:shd w:val="clear" w:color="auto" w:fill="FFFFFF"/>
        </w:rPr>
      </w:pPr>
      <w:bookmarkStart w:id="87" w:name="_Toc48062482"/>
      <w:r>
        <w:rPr>
          <w:rFonts w:hint="eastAsia" w:asciiTheme="minorEastAsia" w:hAnsiTheme="minorEastAsia" w:eastAsiaTheme="minorEastAsia" w:cstheme="minorEastAsia"/>
          <w:bCs/>
          <w:szCs w:val="28"/>
          <w:shd w:val="clear" w:color="auto" w:fill="FFFFFF"/>
        </w:rPr>
        <w:t>社科工作领字【2019】1号</w:t>
      </w:r>
      <w:r>
        <w:rPr>
          <w:rFonts w:hint="eastAsia" w:asciiTheme="minorEastAsia" w:hAnsiTheme="minorEastAsia" w:eastAsiaTheme="minorEastAsia" w:cstheme="minorEastAsia"/>
          <w:szCs w:val="28"/>
          <w:shd w:val="clear" w:color="auto" w:fill="FFFFFF"/>
        </w:rPr>
        <w:t>进一步“宽”资格，“简”要求，“优”管理，在这里给大家浓缩了关于项目资金管理方面的利好内容。</w:t>
      </w:r>
      <w:bookmarkEnd w:id="87"/>
    </w:p>
    <w:p>
      <w:pPr>
        <w:ind w:firstLine="280" w:firstLineChars="100"/>
        <w:outlineLvl w:val="2"/>
        <w:rPr>
          <w:rFonts w:asciiTheme="minorEastAsia" w:hAnsiTheme="minorEastAsia" w:cstheme="minorEastAsia"/>
          <w:szCs w:val="28"/>
          <w:shd w:val="clear" w:color="auto" w:fill="FFFFFF"/>
        </w:rPr>
      </w:pPr>
      <w:bookmarkStart w:id="88" w:name="_Toc48062483"/>
      <w:r>
        <w:rPr>
          <w:rFonts w:hint="eastAsia" w:asciiTheme="minorEastAsia" w:hAnsiTheme="minorEastAsia" w:eastAsiaTheme="minorEastAsia" w:cstheme="minorEastAsia"/>
          <w:szCs w:val="28"/>
          <w:shd w:val="clear" w:color="auto" w:fill="FFFFFF"/>
        </w:rPr>
        <w:t>（1）下放直接费用预算调剂权。国家社科基金项目除增列外拨经费外，直接费用预算调剂权全部下放给项目责任单位。</w:t>
      </w:r>
      <w:bookmarkEnd w:id="88"/>
      <w:r>
        <w:rPr>
          <w:rFonts w:hint="eastAsia" w:asciiTheme="minorEastAsia" w:hAnsiTheme="minorEastAsia" w:eastAsiaTheme="minorEastAsia" w:cstheme="minorEastAsia"/>
          <w:szCs w:val="28"/>
          <w:shd w:val="clear" w:color="auto" w:fill="FFFFFF"/>
        </w:rPr>
        <w:t>　　</w:t>
      </w:r>
    </w:p>
    <w:p>
      <w:pPr>
        <w:ind w:firstLine="280" w:firstLineChars="100"/>
        <w:outlineLvl w:val="2"/>
        <w:rPr>
          <w:rFonts w:asciiTheme="minorEastAsia" w:hAnsiTheme="minorEastAsia" w:cstheme="minorEastAsia"/>
          <w:szCs w:val="28"/>
          <w:shd w:val="clear" w:color="auto" w:fill="FFFFFF"/>
        </w:rPr>
      </w:pPr>
      <w:bookmarkStart w:id="89" w:name="_Toc48062484"/>
      <w:r>
        <w:rPr>
          <w:rFonts w:hint="eastAsia" w:asciiTheme="minorEastAsia" w:hAnsiTheme="minorEastAsia" w:eastAsiaTheme="minorEastAsia" w:cstheme="minorEastAsia"/>
          <w:szCs w:val="28"/>
          <w:shd w:val="clear" w:color="auto" w:fill="FFFFFF"/>
        </w:rPr>
        <w:t>（2）16年（不含）以前的在研项目，是否列支间接费用由项目责任单位自主决定。</w:t>
      </w:r>
      <w:bookmarkEnd w:id="89"/>
    </w:p>
    <w:p>
      <w:pPr>
        <w:ind w:firstLine="280" w:firstLineChars="100"/>
        <w:outlineLvl w:val="2"/>
        <w:rPr>
          <w:rFonts w:asciiTheme="minorEastAsia" w:hAnsiTheme="minorEastAsia" w:cstheme="minorEastAsia"/>
          <w:szCs w:val="28"/>
          <w:shd w:val="clear" w:color="auto" w:fill="FFFFFF"/>
        </w:rPr>
      </w:pPr>
      <w:bookmarkStart w:id="90" w:name="_Toc48062485"/>
      <w:r>
        <w:rPr>
          <w:rFonts w:hint="eastAsia" w:asciiTheme="minorEastAsia" w:hAnsiTheme="minorEastAsia" w:eastAsiaTheme="minorEastAsia" w:cstheme="minorEastAsia"/>
          <w:szCs w:val="28"/>
          <w:shd w:val="clear" w:color="auto" w:fill="FFFFFF"/>
        </w:rPr>
        <w:t>（3）落实项目结余经费使用相关要求。结题验收后，结余资金可由项目责任单位统筹安排用于科研的直接支出。结题2年后仍有剩余的，应当按原渠道退回。</w:t>
      </w:r>
      <w:bookmarkEnd w:id="90"/>
    </w:p>
    <w:p>
      <w:pPr>
        <w:ind w:firstLine="0" w:firstLineChars="0"/>
        <w:outlineLvl w:val="0"/>
        <w:rPr>
          <w:rFonts w:asciiTheme="minorEastAsia" w:hAnsiTheme="minorEastAsia" w:cstheme="minorEastAsia"/>
          <w:b/>
          <w:bCs/>
          <w:sz w:val="32"/>
          <w:szCs w:val="32"/>
        </w:rPr>
      </w:pPr>
      <w:bookmarkStart w:id="91" w:name="_Toc48062486"/>
      <w:r>
        <w:rPr>
          <w:rFonts w:hint="eastAsia" w:asciiTheme="minorEastAsia" w:hAnsiTheme="minorEastAsia" w:eastAsiaTheme="minorEastAsia" w:cstheme="minorEastAsia"/>
          <w:b/>
          <w:bCs/>
          <w:sz w:val="32"/>
          <w:szCs w:val="32"/>
        </w:rPr>
        <w:t>2.省市政策</w:t>
      </w:r>
      <w:bookmarkEnd w:id="91"/>
    </w:p>
    <w:p>
      <w:pPr>
        <w:ind w:firstLine="0" w:firstLineChars="0"/>
        <w:outlineLvl w:val="1"/>
        <w:rPr>
          <w:rFonts w:asciiTheme="minorEastAsia" w:hAnsiTheme="minorEastAsia" w:cstheme="minorEastAsia"/>
          <w:b/>
          <w:bCs/>
          <w:sz w:val="30"/>
          <w:szCs w:val="30"/>
          <w:shd w:val="clear" w:color="auto" w:fill="FFFFFF"/>
        </w:rPr>
      </w:pPr>
      <w:bookmarkStart w:id="92" w:name="_Toc48062487"/>
      <w:r>
        <w:rPr>
          <w:rFonts w:hint="eastAsia" w:asciiTheme="minorEastAsia" w:hAnsiTheme="minorEastAsia" w:eastAsiaTheme="minorEastAsia" w:cstheme="minorEastAsia"/>
          <w:b/>
          <w:bCs/>
          <w:sz w:val="30"/>
          <w:szCs w:val="30"/>
          <w:shd w:val="clear" w:color="auto" w:fill="FFFFFF"/>
        </w:rPr>
        <w:t>2.1 《中共广东省委办公厅 广东省人民政府办公厅关于进一步完善省级财政科研项目资金管理等政策的实施意见（试行）的通知》（粤委办【2017】13号）</w:t>
      </w:r>
      <w:bookmarkEnd w:id="92"/>
    </w:p>
    <w:p>
      <w:pPr>
        <w:ind w:firstLine="638" w:firstLineChars="228"/>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bCs/>
          <w:szCs w:val="28"/>
          <w:shd w:val="clear" w:color="auto" w:fill="FFFFFF"/>
        </w:rPr>
        <w:t>粤委办【2017】13号</w:t>
      </w:r>
      <w:r>
        <w:rPr>
          <w:rFonts w:hint="eastAsia" w:asciiTheme="minorEastAsia" w:hAnsiTheme="minorEastAsia" w:eastAsiaTheme="minorEastAsia" w:cstheme="minorEastAsia"/>
          <w:szCs w:val="28"/>
          <w:shd w:val="clear" w:color="auto" w:fill="FFFFFF"/>
        </w:rPr>
        <w:t>是省级政府贯彻落实《关于进一步完善中央财政科研项目资金管理等政策的若干意见》（中办发【2016】50号相一致）的具体表现，并且明确了各级部门、各级单位的职责分工，主体思想与中办50号文一脉相承。</w:t>
      </w:r>
    </w:p>
    <w:p>
      <w:pPr>
        <w:ind w:firstLine="280" w:firstLineChars="100"/>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1）《意见》主体框架：改进省级财政科研项目资金管理、完善省属高校及科研院所差旅会议管理、科研仪器设备采购管理、基本建设项目管理、切实改进服务、加强制度建设和工作督查，确保政策措施落地见效。</w:t>
      </w:r>
    </w:p>
    <w:p>
      <w:pPr>
        <w:ind w:firstLine="280" w:firstLineChars="100"/>
        <w:rPr>
          <w:rFonts w:asciiTheme="minorEastAsia" w:hAnsi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2）《意见》新增内容：项目资金可直接拨付到项目承担单位基本户管理使用。省财政厅要及时安排下达财政科研项目资金，加快办理科研项目资金结转结余手续。项目主管部门要改进项目合同签订手续，加快科研项目资金转拨进度。项目承担单位要及时将科研项目资金到位情况通知科研人员。</w:t>
      </w:r>
    </w:p>
    <w:p>
      <w:pPr>
        <w:ind w:firstLine="0" w:firstLineChars="0"/>
        <w:outlineLvl w:val="1"/>
        <w:rPr>
          <w:rFonts w:asciiTheme="minorEastAsia" w:hAnsiTheme="minorEastAsia" w:cstheme="minorEastAsia"/>
          <w:b/>
          <w:bCs/>
          <w:sz w:val="30"/>
          <w:szCs w:val="30"/>
          <w:shd w:val="clear" w:color="auto" w:fill="FFFFFF"/>
        </w:rPr>
      </w:pPr>
      <w:bookmarkStart w:id="93" w:name="_Toc48062488"/>
      <w:r>
        <w:rPr>
          <w:rFonts w:hint="eastAsia" w:asciiTheme="minorEastAsia" w:hAnsiTheme="minorEastAsia" w:eastAsiaTheme="minorEastAsia" w:cstheme="minorEastAsia"/>
          <w:b/>
          <w:bCs/>
          <w:sz w:val="30"/>
          <w:szCs w:val="30"/>
          <w:shd w:val="clear" w:color="auto" w:fill="FFFFFF"/>
        </w:rPr>
        <w:t>2.2《广东省财政厅关于优化财政科研资金管理提升科研资金绩效的通知》（粤财教【2018】394号）</w:t>
      </w:r>
      <w:bookmarkEnd w:id="93"/>
    </w:p>
    <w:p>
      <w:pPr>
        <w:ind w:firstLine="638" w:firstLineChars="228"/>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bCs/>
          <w:szCs w:val="28"/>
          <w:shd w:val="clear" w:color="auto" w:fill="FFFFFF"/>
        </w:rPr>
        <w:t>粤财教【2018】394号</w:t>
      </w:r>
      <w:r>
        <w:rPr>
          <w:rFonts w:hint="eastAsia" w:asciiTheme="minorEastAsia" w:hAnsiTheme="minorEastAsia" w:eastAsiaTheme="minorEastAsia" w:cstheme="minorEastAsia"/>
          <w:szCs w:val="28"/>
          <w:shd w:val="clear" w:color="auto" w:fill="FFFFFF"/>
        </w:rPr>
        <w:t>按照“能放尽放”的要求赋予科研人员最大的自主权，一切讲求“信”字，省级财政科研资金项目的科研人员们看过来！</w:t>
      </w:r>
    </w:p>
    <w:p>
      <w:pPr>
        <w:ind w:firstLine="280" w:firstLineChars="100"/>
        <w:rPr>
          <w:rFonts w:asciiTheme="minorEastAsia" w:hAnsi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1）放权“再加力”，建立以信任为前提的财政科研资金管理机制。科研项目所有直接费用调剂权下放给项目承担单位；对高等院校和科研院所的科技成果使用、处置和收益分配，财政部门不再进行审批或备案；赋予高校和科研机构自行采购科研仪器设备、选择评审专家等采购自主权；在项目实施期末进行一次性综合绩效评价。</w:t>
      </w:r>
    </w:p>
    <w:p>
      <w:pPr>
        <w:ind w:firstLine="280" w:firstLineChars="100"/>
        <w:rPr>
          <w:rFonts w:asciiTheme="minorEastAsia" w:hAnsi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（2）管理“再优化”，强化主体责任落实及资金使用绩效导向。对预算支出进度较低、项目实施进度严重滞后或难以达到预期绩效目标的，分类采取收回、撤销、压减、调整等措施。</w:t>
      </w:r>
    </w:p>
    <w:p>
      <w:pPr>
        <w:ind w:firstLine="280" w:firstLineChars="100"/>
        <w:rPr>
          <w:rFonts w:asciiTheme="minorEastAsia" w:hAnsi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3）服务“再提升”，切实增强科研人员改革获得感。一是改革财政科研经费投入方式，探索差异化的财政保障机制；二是建立科研资金绿色拨付通道。符合条件的科研经费可通过国库集中支付方式拨付到主管部门基本户或相关账户转拨至境外机构；三是简化科研仪器设备政府采购流程。</w:t>
      </w:r>
    </w:p>
    <w:p>
      <w:pPr>
        <w:ind w:firstLine="0" w:firstLineChars="0"/>
        <w:outlineLvl w:val="1"/>
        <w:rPr>
          <w:rFonts w:asciiTheme="minorEastAsia" w:hAnsiTheme="minorEastAsia" w:cstheme="minorEastAsia"/>
          <w:b/>
          <w:bCs/>
          <w:sz w:val="30"/>
          <w:szCs w:val="30"/>
          <w:shd w:val="clear" w:color="auto" w:fill="FFFFFF"/>
        </w:rPr>
      </w:pPr>
      <w:bookmarkStart w:id="94" w:name="_Toc48062489"/>
      <w:r>
        <w:rPr>
          <w:rFonts w:hint="eastAsia" w:asciiTheme="minorEastAsia" w:hAnsiTheme="minorEastAsia" w:eastAsiaTheme="minorEastAsia" w:cstheme="minorEastAsia"/>
          <w:b/>
          <w:bCs/>
          <w:sz w:val="30"/>
          <w:szCs w:val="30"/>
          <w:shd w:val="clear" w:color="auto" w:fill="FFFFFF"/>
        </w:rPr>
        <w:t>2.3《广东省人民政府印发关于进一步促进科技创新若干政策措施的通知》（粤府【2019】1号）</w:t>
      </w:r>
      <w:bookmarkEnd w:id="94"/>
    </w:p>
    <w:p>
      <w:pPr>
        <w:ind w:firstLine="638" w:firstLineChars="228"/>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bCs/>
          <w:szCs w:val="28"/>
          <w:shd w:val="clear" w:color="auto" w:fill="FFFFFF"/>
        </w:rPr>
        <w:t>粤府【2019】1号</w:t>
      </w:r>
      <w:r>
        <w:rPr>
          <w:rFonts w:hint="eastAsia" w:asciiTheme="minorEastAsia" w:hAnsiTheme="minorEastAsia" w:eastAsiaTheme="minorEastAsia" w:cstheme="minorEastAsia"/>
          <w:szCs w:val="28"/>
          <w:shd w:val="clear" w:color="auto" w:fill="FFFFFF"/>
        </w:rPr>
        <w:t>进一步贯彻以及落实中央和省关于科技领域“放管服”改革精神，规范省级财政科研项目资金管理，提升科研项目资金绩效，落实科研机构和科研人员经费管理自主权，激发创新活力！为粤港澳地区的科研人员打开了许多发展新思路，打通了科研资金跨境的通道和范式，真正实现科研资金“湾区通”！</w:t>
      </w:r>
    </w:p>
    <w:p>
      <w:pPr>
        <w:ind w:firstLine="280" w:firstLineChars="100"/>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color w:val="000000"/>
          <w:szCs w:val="28"/>
          <w:shd w:val="clear" w:color="auto" w:fill="FFFFFF"/>
        </w:rPr>
        <w:t>（1）鼓励港澳高校和科研机构承担省科技计划项目。</w:t>
      </w:r>
      <w:r>
        <w:rPr>
          <w:rFonts w:hint="eastAsia" w:asciiTheme="minorEastAsia" w:hAnsiTheme="minorEastAsia" w:eastAsiaTheme="minorEastAsia" w:cstheme="minorEastAsia"/>
          <w:szCs w:val="28"/>
          <w:shd w:val="clear" w:color="auto" w:fill="FFFFFF"/>
        </w:rPr>
        <w:t>省科技计划项目向港澳开放，建立省财政科研资金跨境使用机制，允许项目资金直接拨付至港澳两地牵头或参与单位。</w:t>
      </w:r>
    </w:p>
    <w:p>
      <w:pPr>
        <w:ind w:firstLine="280" w:firstLineChars="100"/>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（2）推进创新人才高地建设。调整优化省重大人才工程对于引进人才与本土人才一视同仁；试行港澳人才享受我省企业职工基本养老保险延缴政策等。</w:t>
      </w:r>
    </w:p>
    <w:p>
      <w:pPr>
        <w:ind w:firstLine="280" w:firstLineChars="100"/>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（3）加快建设省实验室和新型研发机构。对标国家实验室，在重点领域建设10个左右省实验室；支持国内外知名高校、科研机构、世界500强企业、中央企业等来粤设立研发总部或区域研发中心等。</w:t>
      </w:r>
    </w:p>
    <w:p>
      <w:pPr>
        <w:ind w:firstLine="280" w:firstLineChars="100"/>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4）打通科技成果转化“最后一公里”。高校、科研机构以市场委托方式取得的横向项目，可约定其成果权属归科技人员所有；对利用财政资金形成的新增职务科技成果，高校、科研机构可与科技人员共同申请知识产权等。</w:t>
      </w:r>
    </w:p>
    <w:p>
      <w:pPr>
        <w:ind w:firstLine="280" w:firstLineChars="100"/>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（5）提高区域创新发展平衡性协调性。粤东西北地区建设的高水平新型研发机构，省财政给予启动经费支持；粤东西北地区设立分校、分院或分支机构的各单位，规划用地、建设资金等方面优先予以保障。</w:t>
      </w:r>
    </w:p>
    <w:p>
      <w:pPr>
        <w:ind w:firstLine="280" w:firstLineChars="100"/>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（6）持续加大科技领域“放管服”改革力度。</w:t>
      </w:r>
      <w:r>
        <w:rPr>
          <w:rFonts w:hint="eastAsia" w:asciiTheme="minorEastAsia" w:hAnsiTheme="minorEastAsia" w:eastAsiaTheme="minorEastAsia" w:cstheme="minorEastAsia"/>
          <w:color w:val="000000"/>
          <w:szCs w:val="28"/>
          <w:shd w:val="clear" w:color="auto" w:fill="FFFFFF"/>
        </w:rPr>
        <w:t>完善省财政科研项目资金管理办法，人力资源成本费不受比例限制，直接费用调剂权全部下放给项目承担单位。高校、科研机构自主制订的横向项目经费管理办法，实行有别于财政科研经费的分类管理方式等。</w:t>
      </w:r>
    </w:p>
    <w:p>
      <w:pPr>
        <w:ind w:firstLine="0" w:firstLineChars="0"/>
        <w:outlineLvl w:val="1"/>
        <w:rPr>
          <w:rFonts w:asciiTheme="minorEastAsia" w:hAnsiTheme="minorEastAsia" w:cstheme="minorEastAsia"/>
          <w:b/>
          <w:bCs/>
          <w:sz w:val="30"/>
          <w:szCs w:val="30"/>
          <w:shd w:val="clear" w:color="auto" w:fill="FFFFFF"/>
        </w:rPr>
      </w:pPr>
      <w:bookmarkStart w:id="95" w:name="_Toc48062490"/>
      <w:r>
        <w:rPr>
          <w:rFonts w:hint="eastAsia" w:asciiTheme="minorEastAsia" w:hAnsiTheme="minorEastAsia" w:eastAsiaTheme="minorEastAsia" w:cstheme="minorEastAsia"/>
          <w:b/>
          <w:bCs/>
          <w:sz w:val="30"/>
          <w:szCs w:val="30"/>
          <w:shd w:val="clear" w:color="auto" w:fill="FFFFFF"/>
        </w:rPr>
        <w:t>2.4《广东省财政厅广东省审计厅关于省级财政科研项目资金的管理监督办法》（粤财规【2019】5号）</w:t>
      </w:r>
      <w:bookmarkEnd w:id="95"/>
    </w:p>
    <w:p>
      <w:pPr>
        <w:ind w:firstLine="560"/>
        <w:rPr>
          <w:rFonts w:asciiTheme="minorEastAsia" w:hAnsiTheme="minorEastAsia" w:eastAsiaTheme="minorEastAsia" w:cstheme="minorEastAsia"/>
          <w:color w:val="000000"/>
          <w:szCs w:val="28"/>
          <w:shd w:val="clear" w:color="auto" w:fill="FFFFFF"/>
        </w:rPr>
      </w:pPr>
      <w:r>
        <w:rPr>
          <w:rFonts w:hint="eastAsia" w:asciiTheme="minorEastAsia" w:hAnsiTheme="minorEastAsia" w:eastAsiaTheme="minorEastAsia" w:cstheme="minorEastAsia"/>
          <w:bCs/>
          <w:color w:val="000000"/>
          <w:szCs w:val="28"/>
          <w:shd w:val="clear" w:color="auto" w:fill="FFFFFF"/>
        </w:rPr>
        <w:t>粤财规【2019】5号</w:t>
      </w:r>
      <w:r>
        <w:rPr>
          <w:rFonts w:hint="eastAsia" w:asciiTheme="minorEastAsia" w:hAnsiTheme="minorEastAsia" w:eastAsiaTheme="minorEastAsia" w:cstheme="minorEastAsia"/>
          <w:color w:val="000000"/>
          <w:szCs w:val="28"/>
          <w:shd w:val="clear" w:color="auto" w:fill="FFFFFF"/>
        </w:rPr>
        <w:t>将中央和省有关科研项目资金管理改革最新政策落实落细，结合了本省的实际需求，进一步加强操作层面的指导和规范，在预算编制、间接经费比例，结余经费的使用等方面又进一步“松绑”！</w:t>
      </w:r>
    </w:p>
    <w:p>
      <w:pPr>
        <w:ind w:firstLine="280" w:firstLineChars="100"/>
        <w:rPr>
          <w:rFonts w:asciiTheme="minorEastAsia" w:hAnsiTheme="minorEastAsia" w:eastAsiaTheme="minorEastAsia" w:cstheme="minorEastAsia"/>
          <w:color w:val="000000"/>
          <w:szCs w:val="28"/>
          <w:shd w:val="clear" w:color="auto" w:fill="FFFFFF"/>
        </w:rPr>
      </w:pPr>
      <w:r>
        <w:rPr>
          <w:rFonts w:hint="eastAsia" w:asciiTheme="minorEastAsia" w:hAnsiTheme="minorEastAsia" w:eastAsiaTheme="minorEastAsia" w:cstheme="minorEastAsia"/>
          <w:color w:val="000000"/>
          <w:szCs w:val="28"/>
          <w:shd w:val="clear" w:color="auto" w:fill="FFFFFF"/>
        </w:rPr>
        <w:t>（1）提高部分科研项目的间接费比例。将智力密集型基础研究项目的间接费比例调增为500万元以下的部分不超过30%，500-1000万元的部分为不超过25%，1000万元以上的部分为不超过20%。</w:t>
      </w:r>
    </w:p>
    <w:p>
      <w:pPr>
        <w:ind w:firstLine="280" w:firstLineChars="100"/>
        <w:rPr>
          <w:rFonts w:asciiTheme="minorEastAsia" w:hAnsiTheme="minorEastAsia" w:eastAsiaTheme="minorEastAsia" w:cstheme="minorEastAsia"/>
          <w:color w:val="000000"/>
          <w:szCs w:val="28"/>
          <w:shd w:val="clear" w:color="auto" w:fill="FFFFFF"/>
        </w:rPr>
      </w:pPr>
      <w:r>
        <w:rPr>
          <w:rFonts w:hint="eastAsia" w:asciiTheme="minorEastAsia" w:hAnsiTheme="minorEastAsia" w:eastAsiaTheme="minorEastAsia" w:cstheme="minorEastAsia"/>
          <w:color w:val="000000"/>
          <w:szCs w:val="28"/>
          <w:shd w:val="clear" w:color="auto" w:fill="FFFFFF"/>
        </w:rPr>
        <w:t>（2）简化预算编制。项目直接费用中除设备费外，其他费用预算均无需提供费用明细。</w:t>
      </w:r>
    </w:p>
    <w:p>
      <w:pPr>
        <w:ind w:firstLine="280" w:firstLineChars="100"/>
        <w:rPr>
          <w:rFonts w:asciiTheme="minorEastAsia" w:hAnsiTheme="minorEastAsia" w:eastAsiaTheme="minorEastAsia" w:cstheme="minorEastAsia"/>
          <w:color w:val="000000"/>
          <w:szCs w:val="28"/>
          <w:shd w:val="clear" w:color="auto" w:fill="FFFFFF"/>
        </w:rPr>
      </w:pPr>
      <w:r>
        <w:rPr>
          <w:rFonts w:hint="eastAsia" w:asciiTheme="minorEastAsia" w:hAnsiTheme="minorEastAsia" w:eastAsiaTheme="minorEastAsia" w:cstheme="minorEastAsia"/>
          <w:color w:val="000000"/>
          <w:szCs w:val="28"/>
          <w:shd w:val="clear" w:color="auto" w:fill="FFFFFF"/>
        </w:rPr>
        <w:t>（3）下放所有直接费用科目调剂权。</w:t>
      </w:r>
    </w:p>
    <w:p>
      <w:pPr>
        <w:ind w:firstLine="280" w:firstLineChars="100"/>
        <w:rPr>
          <w:rFonts w:asciiTheme="minorEastAsia" w:hAnsiTheme="minorEastAsia" w:eastAsiaTheme="minorEastAsia" w:cstheme="minorEastAsia"/>
          <w:color w:val="000000"/>
          <w:szCs w:val="28"/>
          <w:shd w:val="clear" w:color="auto" w:fill="FFFFFF"/>
        </w:rPr>
      </w:pPr>
      <w:r>
        <w:rPr>
          <w:rFonts w:hint="eastAsia" w:asciiTheme="minorEastAsia" w:hAnsiTheme="minorEastAsia" w:eastAsiaTheme="minorEastAsia" w:cstheme="minorEastAsia"/>
          <w:color w:val="000000"/>
          <w:szCs w:val="28"/>
          <w:shd w:val="clear" w:color="auto" w:fill="FFFFFF"/>
        </w:rPr>
        <w:t>（4）统筹结余留用管理。放开科研项目结余资金留用时间限制，由项目承担单位统筹安排用于科研活动的直接支出。</w:t>
      </w:r>
    </w:p>
    <w:p>
      <w:pPr>
        <w:ind w:firstLine="280" w:firstLineChars="100"/>
        <w:rPr>
          <w:rFonts w:asciiTheme="minorEastAsia" w:hAnsiTheme="minorEastAsia" w:cstheme="minorEastAsia"/>
          <w:szCs w:val="28"/>
          <w:shd w:val="clear" w:color="auto" w:fill="FFFFFF"/>
        </w:rPr>
      </w:pPr>
      <w:r>
        <w:rPr>
          <w:rFonts w:hint="eastAsia" w:asciiTheme="minorEastAsia" w:hAnsiTheme="minorEastAsia" w:eastAsiaTheme="minorEastAsia" w:cstheme="minorEastAsia"/>
          <w:color w:val="000000"/>
          <w:szCs w:val="28"/>
          <w:shd w:val="clear" w:color="auto" w:fill="FFFFFF"/>
        </w:rPr>
        <w:t>（5）优化项目资金拨付和科研仪器设备采购管理。项目承担单位可申请将科研项目资金直接拨付至单位账户，实行专账管理。简化高校和科研院所科研仪器设</w:t>
      </w:r>
      <w:r>
        <w:rPr>
          <w:rFonts w:hint="eastAsia" w:asciiTheme="minorEastAsia" w:hAnsiTheme="minorEastAsia" w:eastAsiaTheme="minorEastAsia" w:cstheme="minorEastAsia"/>
          <w:szCs w:val="28"/>
          <w:shd w:val="clear" w:color="auto" w:fill="FFFFFF"/>
        </w:rPr>
        <w:t>备的政府采购程序。</w:t>
      </w:r>
    </w:p>
    <w:p>
      <w:pPr>
        <w:ind w:firstLine="280" w:firstLineChars="100"/>
        <w:rPr>
          <w:rFonts w:asciiTheme="minorEastAsia" w:hAnsi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（6）省财政科研项目经费可跨境拨付。省科研项目资助经费，可由项目主管部门直接拨付至港澳特区高校、科研机构。</w:t>
      </w:r>
    </w:p>
    <w:p>
      <w:pPr>
        <w:ind w:firstLine="280" w:firstLineChars="100"/>
        <w:rPr>
          <w:rFonts w:asciiTheme="minorEastAsia" w:hAnsi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（7）优化监督检查和绩效评价。项目承担单位在项目实施期末可自主选择具有资质的第三方中介机构组织项目结题和财务审计，期末进行一次性综合绩效评价。</w:t>
      </w:r>
    </w:p>
    <w:p>
      <w:pPr>
        <w:ind w:firstLine="0" w:firstLineChars="0"/>
        <w:outlineLvl w:val="1"/>
        <w:rPr>
          <w:rFonts w:asciiTheme="minorEastAsia" w:hAnsiTheme="minorEastAsia" w:cstheme="minorEastAsia"/>
          <w:b/>
          <w:bCs/>
          <w:sz w:val="30"/>
          <w:szCs w:val="30"/>
          <w:shd w:val="clear" w:color="auto" w:fill="FFFFFF"/>
        </w:rPr>
      </w:pPr>
      <w:bookmarkStart w:id="96" w:name="_Toc48062491"/>
      <w:r>
        <w:rPr>
          <w:rFonts w:hint="eastAsia" w:asciiTheme="minorEastAsia" w:hAnsiTheme="minorEastAsia" w:eastAsiaTheme="minorEastAsia" w:cstheme="minorEastAsia"/>
          <w:b/>
          <w:bCs/>
          <w:sz w:val="30"/>
          <w:szCs w:val="30"/>
          <w:shd w:val="clear" w:color="auto" w:fill="FFFFFF"/>
        </w:rPr>
        <w:t>2.5《广州市财政局 广州市科学技术局 广州市审计局关于市级财政科研项目资金绩效提升和管理监督办法》(穗财规字【2019】6号)</w:t>
      </w:r>
      <w:bookmarkEnd w:id="96"/>
    </w:p>
    <w:p>
      <w:pPr>
        <w:ind w:firstLine="638" w:firstLineChars="228"/>
        <w:rPr>
          <w:rFonts w:asciiTheme="minorEastAsia" w:hAnsiTheme="minorEastAsia" w:cstheme="minorEastAsia"/>
          <w:szCs w:val="28"/>
          <w:shd w:val="clear" w:color="auto" w:fill="FFFFFF"/>
        </w:rPr>
      </w:pPr>
      <w:r>
        <w:rPr>
          <w:rFonts w:hint="eastAsia" w:asciiTheme="minorEastAsia" w:hAnsiTheme="minorEastAsia" w:eastAsiaTheme="minorEastAsia" w:cstheme="minorEastAsia"/>
          <w:bCs/>
          <w:szCs w:val="28"/>
          <w:shd w:val="clear" w:color="auto" w:fill="FFFFFF"/>
        </w:rPr>
        <w:t>穗财规字【2019】6号</w:t>
      </w:r>
      <w:r>
        <w:rPr>
          <w:rFonts w:hint="eastAsia" w:asciiTheme="minorEastAsia" w:hAnsiTheme="minorEastAsia" w:eastAsiaTheme="minorEastAsia" w:cstheme="minorEastAsia"/>
          <w:szCs w:val="28"/>
          <w:shd w:val="clear" w:color="auto" w:fill="FFFFFF"/>
        </w:rPr>
        <w:t xml:space="preserve">提出广州市对于科研经费 “包干制”实行改革试点，这是经费使用“放权”的重大突破，市级项目在省级项目的基础上，科研人员经费使用的“自主权”又进一步提高！ </w:t>
      </w:r>
    </w:p>
    <w:p>
      <w:pPr>
        <w:ind w:firstLine="280" w:firstLineChars="100"/>
        <w:rPr>
          <w:rFonts w:asciiTheme="minorEastAsia" w:hAnsi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（1）探索 “包干制”改革试点。科研项目经费使用不设科目比例限制，由科研团队按政策规定自主决定使用。</w:t>
      </w:r>
    </w:p>
    <w:p>
      <w:pPr>
        <w:ind w:firstLine="280" w:firstLineChars="100"/>
        <w:rPr>
          <w:rFonts w:asciiTheme="minorEastAsia" w:hAnsi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（2）下放科研经费科目调剂权。科研经费直接费用所有科目调剂权全部下放给项目承担单位。</w:t>
      </w:r>
    </w:p>
    <w:p>
      <w:pPr>
        <w:ind w:firstLine="280" w:firstLineChars="100"/>
        <w:rPr>
          <w:rFonts w:asciiTheme="minorEastAsia" w:hAnsi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3）建立专账管理机制。市级财政科研资金可根据项目承担单位申请，按照国库集中支付的规定直接拨付至单位基本户或相关账户。项目承担单位对拨付至单位账户的科研资金实行专账管理，单独核算，专款专用。</w:t>
      </w:r>
    </w:p>
    <w:p>
      <w:pPr>
        <w:ind w:firstLine="280" w:firstLineChars="100"/>
        <w:rPr>
          <w:rFonts w:asciiTheme="minorEastAsia" w:hAnsi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（4）建立市财政科研资金跨境使用机制。对明确资助香港、澳门特区高校、科研机构的市科研项目经费，可由项目主管部门直接拨付。</w:t>
      </w:r>
    </w:p>
    <w:p>
      <w:pPr>
        <w:ind w:firstLine="280" w:firstLineChars="100"/>
        <w:rPr>
          <w:rFonts w:asciiTheme="minorEastAsia" w:hAnsi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（5）结余资金可全部留用。项目资金验收后留归承担单位使用，统筹安排用于科研活动的直接支出。</w:t>
      </w:r>
    </w:p>
    <w:p>
      <w:pPr>
        <w:ind w:firstLine="280" w:firstLineChars="100"/>
        <w:rPr>
          <w:rFonts w:asciiTheme="minorEastAsia" w:hAnsi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6）优化项目管理流程。高校和科研院所可自行采购科研仪器设备，选择评审专家；市项目主管部门应完善对项目承担单位科研资金管理的事中事后监督机制，开展联合检查和抽查，并建立健全科研财务助理制度。</w:t>
      </w:r>
    </w:p>
    <w:p>
      <w:pPr>
        <w:ind w:firstLine="280" w:firstLineChars="100"/>
        <w:rPr>
          <w:rFonts w:asciiTheme="minorEastAsia" w:hAnsi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（7）提高间接费用比例。</w:t>
      </w:r>
      <w:r>
        <w:rPr>
          <w:rFonts w:hint="eastAsia" w:asciiTheme="minorEastAsia" w:hAnsiTheme="minorEastAsia" w:cstheme="minorEastAsia"/>
          <w:szCs w:val="28"/>
          <w:shd w:val="clear" w:color="auto" w:fill="FFFFFF"/>
        </w:rPr>
        <w:t>科技研究类项目间接费用比例提高到不超过项目直接费用扣除设备费后的20%，基础研究等智力密集型项目不超30%。</w:t>
      </w:r>
    </w:p>
    <w:p>
      <w:pPr>
        <w:ind w:firstLine="280" w:firstLineChars="100"/>
        <w:rPr>
          <w:rFonts w:asciiTheme="minorEastAsia" w:hAnsi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（8）实行高端科研人才年薪制。对全时全职承担我市重点领域研发计划的团队负责人以及引进的高端人才，可实行年薪制管理，所需经费在项目经费中单独核定。</w:t>
      </w:r>
    </w:p>
    <w:p>
      <w:pPr>
        <w:ind w:firstLine="0" w:firstLineChars="0"/>
        <w:outlineLvl w:val="1"/>
        <w:rPr>
          <w:rFonts w:asciiTheme="minorEastAsia" w:hAnsiTheme="minorEastAsia" w:cstheme="minorEastAsia"/>
          <w:b/>
          <w:bCs/>
          <w:sz w:val="30"/>
          <w:szCs w:val="30"/>
          <w:shd w:val="clear" w:color="auto" w:fill="FFFFFF"/>
        </w:rPr>
      </w:pPr>
      <w:bookmarkStart w:id="97" w:name="_Toc48062492"/>
      <w:r>
        <w:rPr>
          <w:rFonts w:hint="eastAsia" w:asciiTheme="minorEastAsia" w:hAnsiTheme="minorEastAsia" w:eastAsiaTheme="minorEastAsia" w:cstheme="minorEastAsia"/>
          <w:b/>
          <w:bCs/>
          <w:sz w:val="30"/>
          <w:szCs w:val="30"/>
          <w:shd w:val="clear" w:color="auto" w:fill="FFFFFF"/>
        </w:rPr>
        <w:t>2.6广州市科学技术局 广州市财政局关于印发《广州市科技计划项目经费“包干制改革试点工作方案》的通知【2020】</w:t>
      </w:r>
      <w:bookmarkEnd w:id="97"/>
    </w:p>
    <w:p>
      <w:pPr>
        <w:ind w:firstLine="560"/>
        <w:outlineLvl w:val="2"/>
        <w:rPr>
          <w:rFonts w:asciiTheme="minorEastAsia" w:hAnsiTheme="minorEastAsia" w:eastAsiaTheme="minorEastAsia" w:cstheme="minorEastAsia"/>
          <w:szCs w:val="28"/>
          <w:shd w:val="clear" w:color="auto" w:fill="FFFFFF"/>
        </w:rPr>
      </w:pPr>
      <w:bookmarkStart w:id="98" w:name="_Toc48062493"/>
      <w:r>
        <w:rPr>
          <w:rFonts w:hint="eastAsia" w:asciiTheme="minorEastAsia" w:hAnsiTheme="minorEastAsia" w:eastAsiaTheme="minorEastAsia" w:cstheme="minorEastAsia"/>
          <w:szCs w:val="28"/>
          <w:shd w:val="clear" w:color="auto" w:fill="FFFFFF"/>
        </w:rPr>
        <w:t>您的项目“包干”了吗？</w:t>
      </w:r>
      <w:bookmarkEnd w:id="98"/>
    </w:p>
    <w:p>
      <w:pPr>
        <w:ind w:firstLine="560"/>
        <w:outlineLvl w:val="2"/>
        <w:rPr>
          <w:rFonts w:asciiTheme="minorEastAsia" w:hAnsiTheme="minorEastAsia" w:eastAsiaTheme="minorEastAsia" w:cstheme="minorEastAsia"/>
          <w:szCs w:val="28"/>
          <w:shd w:val="clear" w:color="auto" w:fill="FFFFFF"/>
        </w:rPr>
      </w:pPr>
      <w:bookmarkStart w:id="99" w:name="_Toc48062494"/>
      <w:r>
        <w:rPr>
          <w:rFonts w:hint="eastAsia" w:asciiTheme="minorEastAsia" w:hAnsiTheme="minorEastAsia" w:eastAsiaTheme="minorEastAsia" w:cstheme="minorEastAsia"/>
          <w:szCs w:val="28"/>
          <w:shd w:val="clear" w:color="auto" w:fill="FFFFFF"/>
        </w:rPr>
        <w:t>此文明确了“包干制”改革试点工作的总体思路、试点项目（2020年起批准立项的基础与应用基础研究一般项目）及期限（2020年6月至2023年5月）、试点单位、改革措施和有关要求等，目的就是要把“包干制”试点落到实处！来看看项目“包干制”都有什么突破？</w:t>
      </w:r>
      <w:bookmarkEnd w:id="99"/>
    </w:p>
    <w:p>
      <w:pPr>
        <w:ind w:firstLine="280" w:firstLineChars="100"/>
        <w:rPr>
          <w:rFonts w:asciiTheme="minorEastAsia" w:hAnsi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（1）取消预算编制。项目合同只需明确项目经费总额，不再分为直接费用和间接费用，资助强度为原直接费用和间接费用之和。</w:t>
      </w:r>
    </w:p>
    <w:p>
      <w:pPr>
        <w:ind w:firstLine="280" w:firstLineChars="100"/>
        <w:rPr>
          <w:rFonts w:asciiTheme="minorEastAsia" w:hAnsi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2）经费由项目负责人自主使用。项目负责人自主使用经费，实行项目负责人签字报销制。项目承担单位的管理费用由单位与项目负责人协商确定；绩效支出由项目负责人根据科研需要和相关薪酬标准自主确定。</w:t>
      </w:r>
    </w:p>
    <w:p>
      <w:pPr>
        <w:ind w:firstLine="280" w:firstLineChars="100"/>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（3）项目验收无需经费审计报告。项目结题由负责人根据经费使用实际情况编制经费决算表，经承担单位审核后在单位内部公开。</w:t>
      </w:r>
    </w:p>
    <w:p>
      <w:pPr>
        <w:ind w:firstLine="0" w:firstLineChars="0"/>
        <w:outlineLvl w:val="0"/>
        <w:rPr>
          <w:rFonts w:asciiTheme="minorEastAsia" w:hAnsiTheme="minorEastAsia" w:eastAsiaTheme="minorEastAsia" w:cstheme="minorEastAsia"/>
          <w:b/>
          <w:bCs/>
          <w:sz w:val="32"/>
          <w:szCs w:val="32"/>
        </w:rPr>
      </w:pPr>
      <w:bookmarkStart w:id="100" w:name="_Toc48062495"/>
      <w:r>
        <w:rPr>
          <w:rFonts w:hint="eastAsia" w:asciiTheme="minorEastAsia" w:hAnsiTheme="minorEastAsia" w:eastAsiaTheme="minorEastAsia" w:cstheme="minorEastAsia"/>
          <w:b/>
          <w:bCs/>
          <w:sz w:val="32"/>
          <w:szCs w:val="32"/>
        </w:rPr>
        <w:t>3.学校内规</w:t>
      </w:r>
      <w:bookmarkEnd w:id="100"/>
    </w:p>
    <w:p>
      <w:pPr>
        <w:pStyle w:val="3"/>
        <w:spacing w:before="312" w:after="156" w:line="240" w:lineRule="auto"/>
        <w:ind w:firstLine="0" w:firstLineChars="0"/>
        <w:rPr>
          <w:rFonts w:asciiTheme="minorEastAsia" w:hAnsiTheme="minorEastAsia" w:eastAsiaTheme="minorEastAsia" w:cstheme="minorEastAsia"/>
          <w:bCs/>
          <w:sz w:val="30"/>
          <w:szCs w:val="30"/>
          <w:shd w:val="clear" w:color="auto" w:fill="FFFFFF"/>
        </w:rPr>
      </w:pPr>
      <w:bookmarkStart w:id="101" w:name="_Toc48062496"/>
      <w:r>
        <w:rPr>
          <w:rFonts w:hint="eastAsia" w:asciiTheme="minorEastAsia" w:hAnsiTheme="minorEastAsia" w:eastAsiaTheme="minorEastAsia" w:cstheme="minorEastAsia"/>
          <w:bCs/>
          <w:sz w:val="30"/>
          <w:szCs w:val="30"/>
          <w:shd w:val="clear" w:color="auto" w:fill="FFFFFF"/>
        </w:rPr>
        <w:t>3.1暨南大学关于印发《暨南大学会议费管理暂行办法》的通知</w:t>
      </w:r>
      <w:bookmarkEnd w:id="101"/>
    </w:p>
    <w:p>
      <w:pPr>
        <w:pStyle w:val="4"/>
        <w:ind w:firstLine="0" w:firstLineChars="0"/>
        <w:jc w:val="both"/>
        <w:rPr>
          <w:rFonts w:hint="default" w:asciiTheme="minorEastAsia" w:hAnsiTheme="minorEastAsia" w:eastAsiaTheme="minorEastAsia" w:cstheme="minorEastAsia"/>
          <w:bCs/>
          <w:kern w:val="2"/>
          <w:sz w:val="30"/>
          <w:szCs w:val="30"/>
          <w:shd w:val="clear" w:color="auto" w:fill="FFFFFF"/>
        </w:rPr>
      </w:pPr>
      <w:bookmarkStart w:id="102" w:name="_Toc48062497"/>
      <w:bookmarkStart w:id="103" w:name="_Toc476745748"/>
      <w:r>
        <w:rPr>
          <w:rFonts w:asciiTheme="minorEastAsia" w:hAnsiTheme="minorEastAsia" w:eastAsiaTheme="minorEastAsia" w:cstheme="minorEastAsia"/>
          <w:bCs/>
          <w:kern w:val="2"/>
          <w:sz w:val="30"/>
          <w:szCs w:val="30"/>
          <w:shd w:val="clear" w:color="auto" w:fill="FFFFFF"/>
        </w:rPr>
        <w:t>（暨财【2016】42号）</w:t>
      </w:r>
      <w:bookmarkEnd w:id="102"/>
      <w:bookmarkEnd w:id="103"/>
    </w:p>
    <w:p>
      <w:pPr>
        <w:ind w:firstLine="638" w:firstLineChars="228"/>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为进一步加强和规范学校会议费管理，根据《中共中央办公厅、国务院办公厅关于进一步完善中央财政科研项目资金管理等政策的若干意见》（中办发〔2016〕50号）、财政部《中央和国家机关会议费管理办法》（财行〔2016〕214号）和国务院侨务办公室及教育部等相关管理规定的要求，结合学校实际和国际惯例，我校制定了</w:t>
      </w:r>
      <w:r>
        <w:rPr>
          <w:rFonts w:hint="eastAsia" w:asciiTheme="minorEastAsia" w:hAnsiTheme="minorEastAsia" w:eastAsiaTheme="minorEastAsia" w:cstheme="minorEastAsia"/>
          <w:bCs/>
          <w:szCs w:val="28"/>
          <w:shd w:val="clear" w:color="auto" w:fill="FFFFFF"/>
        </w:rPr>
        <w:t>暨财【2016】42号</w:t>
      </w:r>
      <w:r>
        <w:rPr>
          <w:rFonts w:hint="eastAsia" w:asciiTheme="minorEastAsia" w:hAnsiTheme="minorEastAsia" w:eastAsiaTheme="minorEastAsia" w:cstheme="minorEastAsia"/>
          <w:szCs w:val="28"/>
          <w:shd w:val="clear" w:color="auto" w:fill="FFFFFF"/>
        </w:rPr>
        <w:t>明确会议费标准和开支范围。</w:t>
      </w:r>
    </w:p>
    <w:p>
      <w:pPr>
        <w:ind w:firstLine="638" w:firstLineChars="228"/>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（1）办会地点：优先选择在校办会；不得到党中央、国务院明令禁止的风景名胜区召开会议。</w:t>
      </w:r>
    </w:p>
    <w:p>
      <w:pPr>
        <w:ind w:firstLine="638" w:firstLineChars="228"/>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（2）会议费开支标准：会议费开支实行综合定额控制，各项费用之间可以调剂使用。会议费综合定额标准如下：</w:t>
      </w:r>
    </w:p>
    <w:p>
      <w:pPr>
        <w:adjustRightInd w:val="0"/>
        <w:snapToGrid w:val="0"/>
        <w:ind w:firstLine="0" w:firstLineChars="0"/>
        <w:jc w:val="right"/>
        <w:rPr>
          <w:rFonts w:ascii="宋体" w:hAnsi="宋体" w:cs="仿宋"/>
          <w:szCs w:val="21"/>
        </w:rPr>
      </w:pPr>
      <w:r>
        <w:rPr>
          <w:rFonts w:hint="eastAsia" w:ascii="宋体" w:hAnsi="宋体" w:cs="仿宋"/>
          <w:szCs w:val="21"/>
        </w:rPr>
        <w:t xml:space="preserve">                                                          单位:元/人·天</w:t>
      </w:r>
    </w:p>
    <w:tbl>
      <w:tblPr>
        <w:tblStyle w:val="1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85"/>
        <w:gridCol w:w="1554"/>
        <w:gridCol w:w="1343"/>
        <w:gridCol w:w="1658"/>
        <w:gridCol w:w="1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485" w:type="dxa"/>
            <w:tcBorders>
              <w:top w:val="single" w:color="auto" w:sz="4" w:space="0"/>
              <w:left w:val="single" w:color="auto" w:sz="4" w:space="0"/>
              <w:bottom w:val="single" w:color="auto" w:sz="4" w:space="0"/>
              <w:right w:val="single" w:color="auto" w:sz="4" w:space="0"/>
            </w:tcBorders>
            <w:vAlign w:val="center"/>
          </w:tcPr>
          <w:p>
            <w:pPr>
              <w:autoSpaceDN w:val="0"/>
              <w:ind w:firstLine="562"/>
              <w:rPr>
                <w:rFonts w:asciiTheme="majorEastAsia" w:hAnsiTheme="majorEastAsia" w:eastAsiaTheme="majorEastAsia" w:cstheme="majorEastAsia"/>
                <w:b/>
                <w:szCs w:val="21"/>
                <w:shd w:val="clear" w:color="auto" w:fill="FFFFFF"/>
              </w:rPr>
            </w:pPr>
            <w:r>
              <w:rPr>
                <w:rFonts w:hint="eastAsia" w:asciiTheme="majorEastAsia" w:hAnsiTheme="majorEastAsia" w:eastAsiaTheme="majorEastAsia" w:cstheme="majorEastAsia"/>
                <w:b/>
                <w:szCs w:val="21"/>
                <w:shd w:val="clear" w:color="auto" w:fill="FFFFFF"/>
              </w:rPr>
              <w:t>会议类别</w:t>
            </w:r>
          </w:p>
        </w:tc>
        <w:tc>
          <w:tcPr>
            <w:tcW w:w="1554" w:type="dxa"/>
            <w:tcBorders>
              <w:top w:val="single" w:color="auto" w:sz="4" w:space="0"/>
              <w:left w:val="single" w:color="auto" w:sz="4" w:space="0"/>
              <w:bottom w:val="single" w:color="auto" w:sz="4" w:space="0"/>
              <w:right w:val="single" w:color="auto" w:sz="4" w:space="0"/>
            </w:tcBorders>
            <w:vAlign w:val="center"/>
          </w:tcPr>
          <w:p>
            <w:pPr>
              <w:autoSpaceDN w:val="0"/>
              <w:ind w:firstLine="0" w:firstLineChars="0"/>
              <w:jc w:val="center"/>
              <w:rPr>
                <w:rFonts w:asciiTheme="majorEastAsia" w:hAnsiTheme="majorEastAsia" w:eastAsiaTheme="majorEastAsia" w:cstheme="majorEastAsia"/>
                <w:b/>
                <w:szCs w:val="21"/>
                <w:shd w:val="clear" w:color="auto" w:fill="FFFFFF"/>
              </w:rPr>
            </w:pPr>
            <w:r>
              <w:rPr>
                <w:rFonts w:hint="eastAsia" w:asciiTheme="majorEastAsia" w:hAnsiTheme="majorEastAsia" w:eastAsiaTheme="majorEastAsia" w:cstheme="majorEastAsia"/>
                <w:b/>
                <w:szCs w:val="21"/>
                <w:shd w:val="clear" w:color="auto" w:fill="FFFFFF"/>
              </w:rPr>
              <w:t>住宿费</w:t>
            </w:r>
          </w:p>
        </w:tc>
        <w:tc>
          <w:tcPr>
            <w:tcW w:w="1343" w:type="dxa"/>
            <w:tcBorders>
              <w:top w:val="single" w:color="auto" w:sz="4" w:space="0"/>
              <w:left w:val="single" w:color="auto" w:sz="4" w:space="0"/>
              <w:bottom w:val="single" w:color="auto" w:sz="4" w:space="0"/>
              <w:right w:val="single" w:color="auto" w:sz="4" w:space="0"/>
            </w:tcBorders>
            <w:vAlign w:val="center"/>
          </w:tcPr>
          <w:p>
            <w:pPr>
              <w:autoSpaceDN w:val="0"/>
              <w:ind w:firstLine="0" w:firstLineChars="0"/>
              <w:jc w:val="center"/>
              <w:rPr>
                <w:rFonts w:asciiTheme="majorEastAsia" w:hAnsiTheme="majorEastAsia" w:eastAsiaTheme="majorEastAsia" w:cstheme="majorEastAsia"/>
                <w:b/>
                <w:szCs w:val="21"/>
                <w:shd w:val="clear" w:color="auto" w:fill="FFFFFF"/>
              </w:rPr>
            </w:pPr>
            <w:r>
              <w:rPr>
                <w:rFonts w:hint="eastAsia" w:asciiTheme="majorEastAsia" w:hAnsiTheme="majorEastAsia" w:eastAsiaTheme="majorEastAsia" w:cstheme="majorEastAsia"/>
                <w:b/>
                <w:szCs w:val="21"/>
                <w:shd w:val="clear" w:color="auto" w:fill="FFFFFF"/>
              </w:rPr>
              <w:t>伙食费</w:t>
            </w:r>
          </w:p>
        </w:tc>
        <w:tc>
          <w:tcPr>
            <w:tcW w:w="1658" w:type="dxa"/>
            <w:tcBorders>
              <w:top w:val="single" w:color="auto" w:sz="4" w:space="0"/>
              <w:left w:val="single" w:color="auto" w:sz="4" w:space="0"/>
              <w:bottom w:val="single" w:color="auto" w:sz="4" w:space="0"/>
              <w:right w:val="single" w:color="auto" w:sz="4" w:space="0"/>
            </w:tcBorders>
            <w:vAlign w:val="center"/>
          </w:tcPr>
          <w:p>
            <w:pPr>
              <w:autoSpaceDN w:val="0"/>
              <w:ind w:firstLine="0" w:firstLineChars="0"/>
              <w:jc w:val="center"/>
              <w:rPr>
                <w:rFonts w:asciiTheme="majorEastAsia" w:hAnsiTheme="majorEastAsia" w:eastAsiaTheme="majorEastAsia" w:cstheme="majorEastAsia"/>
                <w:b/>
                <w:szCs w:val="21"/>
                <w:shd w:val="clear" w:color="auto" w:fill="FFFFFF"/>
              </w:rPr>
            </w:pPr>
            <w:r>
              <w:rPr>
                <w:rFonts w:hint="eastAsia" w:asciiTheme="majorEastAsia" w:hAnsiTheme="majorEastAsia" w:eastAsiaTheme="majorEastAsia" w:cstheme="majorEastAsia"/>
                <w:b/>
                <w:szCs w:val="21"/>
                <w:shd w:val="clear" w:color="auto" w:fill="FFFFFF"/>
              </w:rPr>
              <w:t>其他费用</w:t>
            </w:r>
          </w:p>
        </w:tc>
        <w:tc>
          <w:tcPr>
            <w:tcW w:w="1482" w:type="dxa"/>
            <w:tcBorders>
              <w:top w:val="single" w:color="auto" w:sz="4" w:space="0"/>
              <w:left w:val="single" w:color="auto" w:sz="4" w:space="0"/>
              <w:bottom w:val="single" w:color="auto" w:sz="4" w:space="0"/>
              <w:right w:val="single" w:color="auto" w:sz="4" w:space="0"/>
            </w:tcBorders>
            <w:vAlign w:val="center"/>
          </w:tcPr>
          <w:p>
            <w:pPr>
              <w:autoSpaceDN w:val="0"/>
              <w:ind w:firstLine="0" w:firstLineChars="0"/>
              <w:jc w:val="center"/>
              <w:rPr>
                <w:rFonts w:asciiTheme="majorEastAsia" w:hAnsiTheme="majorEastAsia" w:eastAsiaTheme="majorEastAsia" w:cstheme="majorEastAsia"/>
                <w:b/>
                <w:szCs w:val="21"/>
                <w:shd w:val="clear" w:color="auto" w:fill="FFFFFF"/>
              </w:rPr>
            </w:pPr>
            <w:r>
              <w:rPr>
                <w:rFonts w:hint="eastAsia" w:asciiTheme="majorEastAsia" w:hAnsiTheme="majorEastAsia" w:eastAsiaTheme="majorEastAsia" w:cstheme="majorEastAsia"/>
                <w:b/>
                <w:szCs w:val="21"/>
                <w:shd w:val="clear" w:color="auto" w:fill="FFFFFF"/>
              </w:rPr>
              <w:t>合 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485" w:type="dxa"/>
            <w:tcBorders>
              <w:top w:val="single" w:color="auto" w:sz="4" w:space="0"/>
              <w:left w:val="single" w:color="auto" w:sz="4" w:space="0"/>
              <w:bottom w:val="single" w:color="auto" w:sz="4" w:space="0"/>
              <w:right w:val="single" w:color="auto" w:sz="4" w:space="0"/>
            </w:tcBorders>
            <w:vAlign w:val="center"/>
          </w:tcPr>
          <w:p>
            <w:pPr>
              <w:autoSpaceDN w:val="0"/>
              <w:ind w:firstLine="0" w:firstLineChars="0"/>
              <w:jc w:val="center"/>
              <w:rPr>
                <w:rFonts w:asciiTheme="majorEastAsia" w:hAnsiTheme="majorEastAsia" w:eastAsiaTheme="majorEastAsia" w:cstheme="majorEastAsia"/>
                <w:szCs w:val="21"/>
                <w:shd w:val="clear" w:color="auto" w:fill="FFFFFF"/>
              </w:rPr>
            </w:pPr>
            <w:r>
              <w:rPr>
                <w:rFonts w:hint="eastAsia" w:asciiTheme="majorEastAsia" w:hAnsiTheme="majorEastAsia" w:eastAsiaTheme="majorEastAsia" w:cstheme="majorEastAsia"/>
                <w:szCs w:val="21"/>
                <w:shd w:val="clear" w:color="auto" w:fill="FFFFFF"/>
              </w:rPr>
              <w:t>国内业务会议</w:t>
            </w:r>
          </w:p>
        </w:tc>
        <w:tc>
          <w:tcPr>
            <w:tcW w:w="1554" w:type="dxa"/>
            <w:tcBorders>
              <w:top w:val="single" w:color="auto" w:sz="4" w:space="0"/>
              <w:left w:val="single" w:color="auto" w:sz="4" w:space="0"/>
              <w:bottom w:val="single" w:color="auto" w:sz="4" w:space="0"/>
              <w:right w:val="single" w:color="auto" w:sz="4" w:space="0"/>
            </w:tcBorders>
            <w:vAlign w:val="center"/>
          </w:tcPr>
          <w:p>
            <w:pPr>
              <w:autoSpaceDN w:val="0"/>
              <w:ind w:firstLine="0" w:firstLineChars="0"/>
              <w:jc w:val="center"/>
              <w:rPr>
                <w:rFonts w:asciiTheme="majorEastAsia" w:hAnsiTheme="majorEastAsia" w:eastAsiaTheme="majorEastAsia" w:cstheme="majorEastAsia"/>
                <w:szCs w:val="21"/>
                <w:shd w:val="clear" w:color="auto" w:fill="FFFFFF"/>
              </w:rPr>
            </w:pPr>
            <w:r>
              <w:rPr>
                <w:rFonts w:hint="eastAsia" w:asciiTheme="majorEastAsia" w:hAnsiTheme="majorEastAsia" w:eastAsiaTheme="majorEastAsia" w:cstheme="majorEastAsia"/>
                <w:szCs w:val="21"/>
                <w:shd w:val="clear" w:color="auto" w:fill="FFFFFF"/>
              </w:rPr>
              <w:t>500</w:t>
            </w:r>
          </w:p>
        </w:tc>
        <w:tc>
          <w:tcPr>
            <w:tcW w:w="1343" w:type="dxa"/>
            <w:tcBorders>
              <w:top w:val="single" w:color="auto" w:sz="4" w:space="0"/>
              <w:left w:val="single" w:color="auto" w:sz="4" w:space="0"/>
              <w:bottom w:val="single" w:color="auto" w:sz="4" w:space="0"/>
              <w:right w:val="single" w:color="auto" w:sz="4" w:space="0"/>
            </w:tcBorders>
            <w:vAlign w:val="center"/>
          </w:tcPr>
          <w:p>
            <w:pPr>
              <w:autoSpaceDN w:val="0"/>
              <w:ind w:firstLine="0" w:firstLineChars="0"/>
              <w:jc w:val="center"/>
              <w:rPr>
                <w:rFonts w:asciiTheme="majorEastAsia" w:hAnsiTheme="majorEastAsia" w:eastAsiaTheme="majorEastAsia" w:cstheme="majorEastAsia"/>
                <w:szCs w:val="21"/>
                <w:shd w:val="clear" w:color="auto" w:fill="FFFFFF"/>
              </w:rPr>
            </w:pPr>
            <w:r>
              <w:rPr>
                <w:rFonts w:hint="eastAsia" w:asciiTheme="majorEastAsia" w:hAnsiTheme="majorEastAsia" w:eastAsiaTheme="majorEastAsia" w:cstheme="majorEastAsia"/>
                <w:szCs w:val="21"/>
                <w:shd w:val="clear" w:color="auto" w:fill="FFFFFF"/>
              </w:rPr>
              <w:t>150</w:t>
            </w:r>
          </w:p>
        </w:tc>
        <w:tc>
          <w:tcPr>
            <w:tcW w:w="1658" w:type="dxa"/>
            <w:tcBorders>
              <w:top w:val="single" w:color="auto" w:sz="4" w:space="0"/>
              <w:left w:val="single" w:color="auto" w:sz="4" w:space="0"/>
              <w:bottom w:val="single" w:color="auto" w:sz="4" w:space="0"/>
              <w:right w:val="single" w:color="auto" w:sz="4" w:space="0"/>
            </w:tcBorders>
            <w:vAlign w:val="center"/>
          </w:tcPr>
          <w:p>
            <w:pPr>
              <w:autoSpaceDN w:val="0"/>
              <w:ind w:firstLine="0" w:firstLineChars="0"/>
              <w:jc w:val="center"/>
              <w:rPr>
                <w:rFonts w:asciiTheme="majorEastAsia" w:hAnsiTheme="majorEastAsia" w:eastAsiaTheme="majorEastAsia" w:cstheme="majorEastAsia"/>
                <w:szCs w:val="21"/>
                <w:shd w:val="clear" w:color="auto" w:fill="FFFFFF"/>
              </w:rPr>
            </w:pPr>
            <w:r>
              <w:rPr>
                <w:rFonts w:hint="eastAsia" w:asciiTheme="majorEastAsia" w:hAnsiTheme="majorEastAsia" w:eastAsiaTheme="majorEastAsia" w:cstheme="majorEastAsia"/>
                <w:szCs w:val="21"/>
                <w:shd w:val="clear" w:color="auto" w:fill="FFFFFF"/>
              </w:rPr>
              <w:t>100</w:t>
            </w:r>
          </w:p>
        </w:tc>
        <w:tc>
          <w:tcPr>
            <w:tcW w:w="1482" w:type="dxa"/>
            <w:tcBorders>
              <w:top w:val="single" w:color="auto" w:sz="4" w:space="0"/>
              <w:left w:val="single" w:color="auto" w:sz="4" w:space="0"/>
              <w:bottom w:val="single" w:color="auto" w:sz="4" w:space="0"/>
              <w:right w:val="single" w:color="auto" w:sz="4" w:space="0"/>
            </w:tcBorders>
            <w:vAlign w:val="center"/>
          </w:tcPr>
          <w:p>
            <w:pPr>
              <w:autoSpaceDN w:val="0"/>
              <w:ind w:firstLine="0" w:firstLineChars="0"/>
              <w:jc w:val="center"/>
              <w:rPr>
                <w:rFonts w:asciiTheme="majorEastAsia" w:hAnsiTheme="majorEastAsia" w:eastAsiaTheme="majorEastAsia" w:cstheme="majorEastAsia"/>
                <w:szCs w:val="21"/>
                <w:shd w:val="clear" w:color="auto" w:fill="FFFFFF"/>
              </w:rPr>
            </w:pPr>
            <w:r>
              <w:rPr>
                <w:rFonts w:hint="eastAsia" w:asciiTheme="majorEastAsia" w:hAnsiTheme="majorEastAsia" w:eastAsiaTheme="majorEastAsia" w:cstheme="majorEastAsia"/>
                <w:szCs w:val="21"/>
                <w:shd w:val="clear" w:color="auto" w:fill="FFFFFF"/>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485" w:type="dxa"/>
            <w:tcBorders>
              <w:top w:val="single" w:color="auto" w:sz="4" w:space="0"/>
              <w:left w:val="single" w:color="auto" w:sz="4" w:space="0"/>
              <w:bottom w:val="single" w:color="auto" w:sz="4" w:space="0"/>
              <w:right w:val="single" w:color="auto" w:sz="4" w:space="0"/>
            </w:tcBorders>
            <w:vAlign w:val="center"/>
          </w:tcPr>
          <w:p>
            <w:pPr>
              <w:autoSpaceDN w:val="0"/>
              <w:ind w:firstLine="0" w:firstLineChars="0"/>
              <w:jc w:val="center"/>
              <w:rPr>
                <w:rFonts w:asciiTheme="majorEastAsia" w:hAnsiTheme="majorEastAsia" w:eastAsiaTheme="majorEastAsia" w:cstheme="majorEastAsia"/>
                <w:szCs w:val="21"/>
                <w:shd w:val="clear" w:color="auto" w:fill="FFFFFF"/>
              </w:rPr>
            </w:pPr>
            <w:r>
              <w:rPr>
                <w:rFonts w:hint="eastAsia" w:asciiTheme="majorEastAsia" w:hAnsiTheme="majorEastAsia" w:eastAsiaTheme="majorEastAsia" w:cstheme="majorEastAsia"/>
                <w:szCs w:val="21"/>
                <w:shd w:val="clear" w:color="auto" w:fill="FFFFFF"/>
              </w:rPr>
              <w:t>国内管理会议</w:t>
            </w:r>
          </w:p>
        </w:tc>
        <w:tc>
          <w:tcPr>
            <w:tcW w:w="1554" w:type="dxa"/>
            <w:tcBorders>
              <w:top w:val="single" w:color="auto" w:sz="4" w:space="0"/>
              <w:left w:val="single" w:color="auto" w:sz="4" w:space="0"/>
              <w:bottom w:val="single" w:color="auto" w:sz="4" w:space="0"/>
              <w:right w:val="single" w:color="auto" w:sz="4" w:space="0"/>
            </w:tcBorders>
            <w:vAlign w:val="center"/>
          </w:tcPr>
          <w:p>
            <w:pPr>
              <w:autoSpaceDN w:val="0"/>
              <w:ind w:firstLine="0" w:firstLineChars="0"/>
              <w:jc w:val="center"/>
              <w:rPr>
                <w:rFonts w:asciiTheme="majorEastAsia" w:hAnsiTheme="majorEastAsia" w:eastAsiaTheme="majorEastAsia" w:cstheme="majorEastAsia"/>
                <w:szCs w:val="21"/>
                <w:shd w:val="clear" w:color="auto" w:fill="FFFFFF"/>
              </w:rPr>
            </w:pPr>
            <w:r>
              <w:rPr>
                <w:rFonts w:hint="eastAsia" w:asciiTheme="majorEastAsia" w:hAnsiTheme="majorEastAsia" w:eastAsiaTheme="majorEastAsia" w:cstheme="majorEastAsia"/>
                <w:szCs w:val="21"/>
                <w:shd w:val="clear" w:color="auto" w:fill="FFFFFF"/>
              </w:rPr>
              <w:t>390</w:t>
            </w:r>
          </w:p>
        </w:tc>
        <w:tc>
          <w:tcPr>
            <w:tcW w:w="1343" w:type="dxa"/>
            <w:tcBorders>
              <w:top w:val="single" w:color="auto" w:sz="4" w:space="0"/>
              <w:left w:val="single" w:color="auto" w:sz="4" w:space="0"/>
              <w:bottom w:val="single" w:color="auto" w:sz="4" w:space="0"/>
              <w:right w:val="single" w:color="auto" w:sz="4" w:space="0"/>
            </w:tcBorders>
            <w:vAlign w:val="center"/>
          </w:tcPr>
          <w:p>
            <w:pPr>
              <w:autoSpaceDN w:val="0"/>
              <w:ind w:firstLine="0" w:firstLineChars="0"/>
              <w:jc w:val="center"/>
              <w:rPr>
                <w:rFonts w:asciiTheme="majorEastAsia" w:hAnsiTheme="majorEastAsia" w:eastAsiaTheme="majorEastAsia" w:cstheme="majorEastAsia"/>
                <w:szCs w:val="21"/>
                <w:shd w:val="clear" w:color="auto" w:fill="FFFFFF"/>
              </w:rPr>
            </w:pPr>
            <w:r>
              <w:rPr>
                <w:rFonts w:hint="eastAsia" w:asciiTheme="majorEastAsia" w:hAnsiTheme="majorEastAsia" w:eastAsiaTheme="majorEastAsia" w:cstheme="majorEastAsia"/>
                <w:szCs w:val="21"/>
                <w:shd w:val="clear" w:color="auto" w:fill="FFFFFF"/>
              </w:rPr>
              <w:t>130</w:t>
            </w:r>
          </w:p>
        </w:tc>
        <w:tc>
          <w:tcPr>
            <w:tcW w:w="1658" w:type="dxa"/>
            <w:tcBorders>
              <w:top w:val="single" w:color="auto" w:sz="4" w:space="0"/>
              <w:left w:val="single" w:color="auto" w:sz="4" w:space="0"/>
              <w:bottom w:val="single" w:color="auto" w:sz="4" w:space="0"/>
              <w:right w:val="single" w:color="auto" w:sz="4" w:space="0"/>
            </w:tcBorders>
            <w:vAlign w:val="center"/>
          </w:tcPr>
          <w:p>
            <w:pPr>
              <w:autoSpaceDN w:val="0"/>
              <w:ind w:firstLine="0" w:firstLineChars="0"/>
              <w:jc w:val="center"/>
              <w:rPr>
                <w:rFonts w:asciiTheme="majorEastAsia" w:hAnsiTheme="majorEastAsia" w:eastAsiaTheme="majorEastAsia" w:cstheme="majorEastAsia"/>
                <w:szCs w:val="21"/>
                <w:shd w:val="clear" w:color="auto" w:fill="FFFFFF"/>
              </w:rPr>
            </w:pPr>
            <w:r>
              <w:rPr>
                <w:rFonts w:hint="eastAsia" w:asciiTheme="majorEastAsia" w:hAnsiTheme="majorEastAsia" w:eastAsiaTheme="majorEastAsia" w:cstheme="majorEastAsia"/>
                <w:szCs w:val="21"/>
                <w:shd w:val="clear" w:color="auto" w:fill="FFFFFF"/>
              </w:rPr>
              <w:t>80</w:t>
            </w:r>
          </w:p>
        </w:tc>
        <w:tc>
          <w:tcPr>
            <w:tcW w:w="1482" w:type="dxa"/>
            <w:tcBorders>
              <w:top w:val="single" w:color="auto" w:sz="4" w:space="0"/>
              <w:left w:val="single" w:color="auto" w:sz="4" w:space="0"/>
              <w:bottom w:val="single" w:color="auto" w:sz="4" w:space="0"/>
              <w:right w:val="single" w:color="auto" w:sz="4" w:space="0"/>
            </w:tcBorders>
            <w:vAlign w:val="center"/>
          </w:tcPr>
          <w:p>
            <w:pPr>
              <w:autoSpaceDN w:val="0"/>
              <w:ind w:firstLine="0" w:firstLineChars="0"/>
              <w:jc w:val="center"/>
              <w:rPr>
                <w:rFonts w:asciiTheme="majorEastAsia" w:hAnsiTheme="majorEastAsia" w:eastAsiaTheme="majorEastAsia" w:cstheme="majorEastAsia"/>
                <w:szCs w:val="21"/>
                <w:shd w:val="clear" w:color="auto" w:fill="FFFFFF"/>
              </w:rPr>
            </w:pPr>
            <w:r>
              <w:rPr>
                <w:rFonts w:hint="eastAsia" w:asciiTheme="majorEastAsia" w:hAnsiTheme="majorEastAsia" w:eastAsiaTheme="majorEastAsia" w:cstheme="majorEastAsia"/>
                <w:szCs w:val="21"/>
                <w:shd w:val="clear" w:color="auto" w:fill="FFFFFF"/>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485" w:type="dxa"/>
            <w:tcBorders>
              <w:top w:val="single" w:color="auto" w:sz="4" w:space="0"/>
              <w:left w:val="single" w:color="auto" w:sz="4" w:space="0"/>
              <w:bottom w:val="single" w:color="auto" w:sz="4" w:space="0"/>
              <w:right w:val="single" w:color="auto" w:sz="4" w:space="0"/>
            </w:tcBorders>
            <w:vAlign w:val="center"/>
          </w:tcPr>
          <w:p>
            <w:pPr>
              <w:autoSpaceDN w:val="0"/>
              <w:ind w:firstLine="0" w:firstLineChars="0"/>
              <w:jc w:val="center"/>
              <w:rPr>
                <w:rFonts w:asciiTheme="majorEastAsia" w:hAnsiTheme="majorEastAsia" w:eastAsiaTheme="majorEastAsia" w:cstheme="majorEastAsia"/>
                <w:szCs w:val="21"/>
                <w:shd w:val="clear" w:color="auto" w:fill="FFFFFF"/>
              </w:rPr>
            </w:pPr>
            <w:r>
              <w:rPr>
                <w:rFonts w:hint="eastAsia" w:asciiTheme="majorEastAsia" w:hAnsiTheme="majorEastAsia" w:eastAsiaTheme="majorEastAsia" w:cstheme="majorEastAsia"/>
                <w:szCs w:val="21"/>
                <w:shd w:val="clear" w:color="auto" w:fill="FFFFFF"/>
              </w:rPr>
              <w:t>在华举办国际会议</w:t>
            </w:r>
          </w:p>
        </w:tc>
        <w:tc>
          <w:tcPr>
            <w:tcW w:w="1554" w:type="dxa"/>
            <w:tcBorders>
              <w:top w:val="single" w:color="auto" w:sz="4" w:space="0"/>
              <w:left w:val="single" w:color="auto" w:sz="4" w:space="0"/>
              <w:bottom w:val="single" w:color="auto" w:sz="4" w:space="0"/>
              <w:right w:val="single" w:color="auto" w:sz="4" w:space="0"/>
            </w:tcBorders>
            <w:vAlign w:val="center"/>
          </w:tcPr>
          <w:p>
            <w:pPr>
              <w:autoSpaceDN w:val="0"/>
              <w:ind w:firstLine="0" w:firstLineChars="0"/>
              <w:jc w:val="center"/>
              <w:rPr>
                <w:rFonts w:asciiTheme="majorEastAsia" w:hAnsiTheme="majorEastAsia" w:eastAsiaTheme="majorEastAsia" w:cstheme="majorEastAsia"/>
                <w:szCs w:val="21"/>
                <w:shd w:val="clear" w:color="auto" w:fill="FFFFFF"/>
              </w:rPr>
            </w:pPr>
            <w:r>
              <w:rPr>
                <w:rFonts w:hint="eastAsia" w:asciiTheme="majorEastAsia" w:hAnsiTheme="majorEastAsia" w:eastAsiaTheme="majorEastAsia" w:cstheme="majorEastAsia"/>
                <w:szCs w:val="21"/>
                <w:shd w:val="clear" w:color="auto" w:fill="FFFFFF"/>
              </w:rPr>
              <w:t>700</w:t>
            </w:r>
          </w:p>
        </w:tc>
        <w:tc>
          <w:tcPr>
            <w:tcW w:w="1343" w:type="dxa"/>
            <w:tcBorders>
              <w:top w:val="single" w:color="auto" w:sz="4" w:space="0"/>
              <w:left w:val="single" w:color="auto" w:sz="4" w:space="0"/>
              <w:bottom w:val="single" w:color="auto" w:sz="4" w:space="0"/>
              <w:right w:val="single" w:color="auto" w:sz="4" w:space="0"/>
            </w:tcBorders>
            <w:vAlign w:val="center"/>
          </w:tcPr>
          <w:p>
            <w:pPr>
              <w:autoSpaceDN w:val="0"/>
              <w:ind w:firstLine="0" w:firstLineChars="0"/>
              <w:jc w:val="center"/>
              <w:rPr>
                <w:rFonts w:asciiTheme="majorEastAsia" w:hAnsiTheme="majorEastAsia" w:eastAsiaTheme="majorEastAsia" w:cstheme="majorEastAsia"/>
                <w:szCs w:val="21"/>
                <w:shd w:val="clear" w:color="auto" w:fill="FFFFFF"/>
              </w:rPr>
            </w:pPr>
            <w:r>
              <w:rPr>
                <w:rFonts w:hint="eastAsia" w:asciiTheme="majorEastAsia" w:hAnsiTheme="majorEastAsia" w:eastAsiaTheme="majorEastAsia" w:cstheme="majorEastAsia"/>
                <w:szCs w:val="21"/>
                <w:shd w:val="clear" w:color="auto" w:fill="FFFFFF"/>
              </w:rPr>
              <w:t>200</w:t>
            </w:r>
          </w:p>
        </w:tc>
        <w:tc>
          <w:tcPr>
            <w:tcW w:w="1658" w:type="dxa"/>
            <w:tcBorders>
              <w:top w:val="single" w:color="auto" w:sz="4" w:space="0"/>
              <w:left w:val="single" w:color="auto" w:sz="4" w:space="0"/>
              <w:bottom w:val="single" w:color="auto" w:sz="4" w:space="0"/>
              <w:right w:val="single" w:color="auto" w:sz="4" w:space="0"/>
            </w:tcBorders>
            <w:vAlign w:val="center"/>
          </w:tcPr>
          <w:p>
            <w:pPr>
              <w:autoSpaceDN w:val="0"/>
              <w:ind w:firstLine="0" w:firstLineChars="0"/>
              <w:jc w:val="center"/>
              <w:rPr>
                <w:rFonts w:asciiTheme="majorEastAsia" w:hAnsiTheme="majorEastAsia" w:eastAsiaTheme="majorEastAsia" w:cstheme="majorEastAsia"/>
                <w:szCs w:val="21"/>
                <w:shd w:val="clear" w:color="auto" w:fill="FFFFFF"/>
              </w:rPr>
            </w:pPr>
            <w:r>
              <w:rPr>
                <w:rFonts w:hint="eastAsia" w:asciiTheme="majorEastAsia" w:hAnsiTheme="majorEastAsia" w:eastAsiaTheme="majorEastAsia" w:cstheme="majorEastAsia"/>
                <w:szCs w:val="21"/>
                <w:shd w:val="clear" w:color="auto" w:fill="FFFFFF"/>
              </w:rPr>
              <w:t>300</w:t>
            </w:r>
          </w:p>
        </w:tc>
        <w:tc>
          <w:tcPr>
            <w:tcW w:w="1482" w:type="dxa"/>
            <w:tcBorders>
              <w:top w:val="single" w:color="auto" w:sz="4" w:space="0"/>
              <w:left w:val="single" w:color="auto" w:sz="4" w:space="0"/>
              <w:bottom w:val="single" w:color="auto" w:sz="4" w:space="0"/>
              <w:right w:val="single" w:color="auto" w:sz="4" w:space="0"/>
            </w:tcBorders>
            <w:vAlign w:val="center"/>
          </w:tcPr>
          <w:p>
            <w:pPr>
              <w:autoSpaceDN w:val="0"/>
              <w:ind w:firstLine="0" w:firstLineChars="0"/>
              <w:jc w:val="center"/>
              <w:rPr>
                <w:rFonts w:asciiTheme="majorEastAsia" w:hAnsiTheme="majorEastAsia" w:eastAsiaTheme="majorEastAsia" w:cstheme="majorEastAsia"/>
                <w:szCs w:val="21"/>
                <w:shd w:val="clear" w:color="auto" w:fill="FFFFFF"/>
              </w:rPr>
            </w:pPr>
            <w:r>
              <w:rPr>
                <w:rFonts w:hint="eastAsia" w:asciiTheme="majorEastAsia" w:hAnsiTheme="majorEastAsia" w:eastAsiaTheme="majorEastAsia" w:cstheme="majorEastAsia"/>
                <w:szCs w:val="21"/>
                <w:shd w:val="clear" w:color="auto" w:fill="FFFFFF"/>
              </w:rPr>
              <w:t>1200</w:t>
            </w:r>
          </w:p>
        </w:tc>
      </w:tr>
    </w:tbl>
    <w:p>
      <w:pPr>
        <w:ind w:firstLine="0" w:firstLineChars="0"/>
        <w:jc w:val="center"/>
        <w:rPr>
          <w:rFonts w:asciiTheme="minorEastAsia" w:hAnsiTheme="minorEastAsia" w:eastAsiaTheme="minorEastAsia" w:cstheme="minorEastAsia"/>
          <w:sz w:val="18"/>
          <w:szCs w:val="18"/>
          <w:shd w:val="clear" w:color="auto" w:fill="FFFFFF"/>
        </w:rPr>
      </w:pPr>
      <w:r>
        <w:rPr>
          <w:rFonts w:hint="eastAsia" w:asciiTheme="minorEastAsia" w:hAnsiTheme="minorEastAsia" w:eastAsiaTheme="minorEastAsia" w:cstheme="minorEastAsia"/>
          <w:sz w:val="18"/>
          <w:szCs w:val="18"/>
          <w:shd w:val="clear" w:color="auto" w:fill="FFFFFF"/>
        </w:rPr>
        <w:t>（注：学校董事会会议参照在华举办国际会议标准）</w:t>
      </w:r>
    </w:p>
    <w:p>
      <w:pPr>
        <w:ind w:firstLine="638" w:firstLineChars="228"/>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（3）超支处理：按照定额控制标准执行，超支部分不予报销；如有特殊情况，应在申报会议预算中予以披露，由各单位根据实际情况进行审批。</w:t>
      </w:r>
    </w:p>
    <w:p>
      <w:pPr>
        <w:ind w:firstLine="638" w:firstLineChars="228"/>
        <w:rPr>
          <w:rFonts w:ascii="Times New Roman" w:hAnsi="宋体"/>
          <w:szCs w:val="21"/>
        </w:rPr>
      </w:pPr>
      <w:r>
        <w:rPr>
          <w:rFonts w:hint="eastAsia" w:asciiTheme="minorEastAsia" w:hAnsiTheme="minorEastAsia" w:eastAsiaTheme="minorEastAsia" w:cstheme="minorEastAsia"/>
          <w:szCs w:val="28"/>
          <w:shd w:val="clear" w:color="auto" w:fill="FFFFFF"/>
        </w:rPr>
        <w:t>（4）不安排食宿的会议标准：按照扣除住宿费后的定额标准执行，住宿费不能调剂使用；不安排就餐的会议，按照扣除伙食费后的定额标准执行，伙食费不能调剂使用。</w:t>
      </w:r>
    </w:p>
    <w:p>
      <w:pPr>
        <w:pStyle w:val="16"/>
        <w:ind w:firstLine="0" w:firstLineChars="0"/>
        <w:outlineLvl w:val="1"/>
        <w:rPr>
          <w:rFonts w:asciiTheme="minorEastAsia" w:hAnsiTheme="minorEastAsia" w:cstheme="minorEastAsia"/>
          <w:b/>
          <w:bCs/>
          <w:sz w:val="30"/>
          <w:szCs w:val="30"/>
        </w:rPr>
      </w:pPr>
      <w:bookmarkStart w:id="104" w:name="_Toc48062498"/>
      <w:r>
        <w:rPr>
          <w:rFonts w:hint="eastAsia" w:asciiTheme="minorEastAsia" w:hAnsiTheme="minorEastAsia" w:cstheme="minorEastAsia"/>
          <w:b/>
          <w:bCs/>
          <w:sz w:val="30"/>
          <w:szCs w:val="30"/>
          <w:shd w:val="clear" w:color="auto" w:fill="FFFFFF"/>
        </w:rPr>
        <w:t>3.2</w:t>
      </w:r>
      <w:r>
        <w:rPr>
          <w:rFonts w:hint="eastAsia" w:asciiTheme="minorEastAsia" w:hAnsiTheme="minorEastAsia" w:eastAsiaTheme="minorEastAsia" w:cstheme="minorEastAsia"/>
          <w:b/>
          <w:bCs/>
          <w:sz w:val="30"/>
          <w:szCs w:val="30"/>
          <w:shd w:val="clear" w:color="auto" w:fill="FFFFFF"/>
        </w:rPr>
        <w:t>《暨南大学科研项目间接费用管理办法》（暨财【2017】1号）</w:t>
      </w:r>
      <w:bookmarkEnd w:id="104"/>
    </w:p>
    <w:p>
      <w:pPr>
        <w:ind w:firstLine="638" w:firstLineChars="228"/>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bCs/>
          <w:szCs w:val="28"/>
          <w:shd w:val="clear" w:color="auto" w:fill="FFFFFF"/>
        </w:rPr>
        <w:t>暨财【2017】1号</w:t>
      </w:r>
      <w:r>
        <w:rPr>
          <w:rFonts w:hint="eastAsia" w:asciiTheme="minorEastAsia" w:hAnsiTheme="minorEastAsia" w:eastAsiaTheme="minorEastAsia" w:cstheme="minorEastAsia"/>
          <w:szCs w:val="28"/>
          <w:shd w:val="clear" w:color="auto" w:fill="FFFFFF"/>
        </w:rPr>
        <w:t>从经费比重、开支范围等方面给科研人员进行更大力度的“松绑+绩效激励”，给大家介绍一下，你不可不知的“间接费用”，赶紧用起来！</w:t>
      </w:r>
    </w:p>
    <w:p>
      <w:pPr>
        <w:ind w:firstLine="280" w:firstLineChars="100"/>
        <w:rPr>
          <w:rFonts w:asciiTheme="minorEastAsia" w:hAnsi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1）明确间接费用定义和支出范围。依托单位在组织实施项目过程中发生的无法在直接费用中列支的相关费用，主要用于补偿依托单位为了项目研究提供的现有仪器设备及房屋，水、电、气、暖消耗，有关管理费用，以及绩效支出等。</w:t>
      </w:r>
    </w:p>
    <w:p>
      <w:pPr>
        <w:ind w:firstLine="280" w:firstLineChars="100"/>
        <w:rPr>
          <w:rFonts w:asciiTheme="minorEastAsia" w:hAnsi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（2）间接费用预算核定比例依据，按照科技项目和社科项目相关规定的间接费用提取比例核定。</w:t>
      </w:r>
    </w:p>
    <w:p>
      <w:pPr>
        <w:ind w:firstLine="280" w:firstLineChars="100"/>
        <w:rPr>
          <w:rFonts w:asciiTheme="minorEastAsia" w:hAnsiTheme="minorEastAsia" w:cstheme="minorEastAsia"/>
          <w:szCs w:val="28"/>
        </w:rPr>
      </w:pPr>
      <w:r>
        <w:rPr>
          <w:rFonts w:hint="eastAsia" w:asciiTheme="minorEastAsia" w:hAnsiTheme="minorEastAsia" w:eastAsiaTheme="minorEastAsia" w:cstheme="minorEastAsia"/>
          <w:szCs w:val="28"/>
          <w:shd w:val="clear" w:color="auto" w:fill="FFFFFF"/>
        </w:rPr>
        <w:t>（3）间接费用遵照分级管理原则。由学校间接费用、学院（研究院/所）间接费用和项目组间接费用三部分组成。社科项目比例为：学校8%、学院2%、项目组90%；科技项目比例为：学校20%、学院5%、项目组75%。</w:t>
      </w:r>
    </w:p>
    <w:p>
      <w:pPr>
        <w:pStyle w:val="16"/>
        <w:ind w:firstLine="0" w:firstLineChars="0"/>
        <w:outlineLvl w:val="1"/>
        <w:rPr>
          <w:rFonts w:asciiTheme="minorEastAsia" w:hAnsiTheme="minorEastAsia" w:cstheme="minorEastAsia"/>
          <w:b/>
          <w:bCs/>
          <w:sz w:val="30"/>
          <w:szCs w:val="30"/>
        </w:rPr>
      </w:pPr>
      <w:bookmarkStart w:id="105" w:name="_Toc48062499"/>
      <w:r>
        <w:rPr>
          <w:rFonts w:hint="eastAsia" w:asciiTheme="minorEastAsia" w:hAnsiTheme="minorEastAsia" w:cstheme="minorEastAsia"/>
          <w:b/>
          <w:bCs/>
          <w:sz w:val="30"/>
          <w:szCs w:val="30"/>
        </w:rPr>
        <w:t>3.3</w:t>
      </w:r>
      <w:r>
        <w:rPr>
          <w:rFonts w:hint="eastAsia" w:asciiTheme="minorEastAsia" w:hAnsiTheme="minorEastAsia" w:eastAsiaTheme="minorEastAsia" w:cstheme="minorEastAsia"/>
          <w:b/>
          <w:bCs/>
          <w:sz w:val="30"/>
          <w:szCs w:val="30"/>
        </w:rPr>
        <w:t>《暨南大学科研项目经费管理办法》（暨财</w:t>
      </w:r>
      <w:r>
        <w:rPr>
          <w:rFonts w:hint="eastAsia" w:asciiTheme="minorEastAsia" w:hAnsiTheme="minorEastAsia" w:eastAsiaTheme="minorEastAsia" w:cstheme="minorEastAsia"/>
          <w:b/>
          <w:bCs/>
          <w:sz w:val="30"/>
          <w:szCs w:val="30"/>
          <w:shd w:val="clear" w:color="auto" w:fill="FFFFFF"/>
        </w:rPr>
        <w:t>【2017】</w:t>
      </w:r>
      <w:r>
        <w:rPr>
          <w:rFonts w:hint="eastAsia" w:asciiTheme="minorEastAsia" w:hAnsiTheme="minorEastAsia" w:eastAsiaTheme="minorEastAsia" w:cstheme="minorEastAsia"/>
          <w:b/>
          <w:bCs/>
          <w:sz w:val="30"/>
          <w:szCs w:val="30"/>
        </w:rPr>
        <w:t>2号）</w:t>
      </w:r>
      <w:bookmarkEnd w:id="105"/>
    </w:p>
    <w:p>
      <w:pPr>
        <w:ind w:firstLine="560"/>
        <w:rPr>
          <w:rFonts w:asciiTheme="minorEastAsia" w:hAnsiTheme="minorEastAsia" w:cstheme="minorEastAsia"/>
          <w:szCs w:val="28"/>
        </w:rPr>
      </w:pPr>
      <w:r>
        <w:rPr>
          <w:rFonts w:hint="eastAsia" w:asciiTheme="minorEastAsia" w:hAnsiTheme="minorEastAsia" w:eastAsiaTheme="minorEastAsia" w:cstheme="minorEastAsia"/>
          <w:szCs w:val="28"/>
        </w:rPr>
        <w:t>从经费来源、管理体制、预算执行调整、经费收支结余等全方位加强和规范管理，保证科研项目经费有效使用，提高资金使用效益。</w:t>
      </w:r>
    </w:p>
    <w:p>
      <w:pPr>
        <w:ind w:firstLine="280" w:firstLineChars="100"/>
        <w:rPr>
          <w:rFonts w:asciiTheme="minorEastAsia" w:hAnsiTheme="minorEastAsia" w:eastAsiaTheme="minorEastAsia" w:cstheme="minorEastAsia"/>
          <w:szCs w:val="28"/>
        </w:rPr>
      </w:pPr>
      <w:r>
        <w:rPr>
          <w:rFonts w:hint="eastAsia" w:asciiTheme="minorEastAsia" w:hAnsiTheme="minorEastAsia" w:eastAsiaTheme="minorEastAsia" w:cstheme="minorEastAsia"/>
          <w:szCs w:val="28"/>
        </w:rPr>
        <w:t>（1）按照经费来源明晰区分项目类型，学校实行“统一领导、分级管理、责任到人”的科研经费管理体制，明确各职能部门的职责与权限；项目组可聘请科研财务助理提供专业服务。</w:t>
      </w:r>
    </w:p>
    <w:p>
      <w:pPr>
        <w:ind w:firstLine="280" w:firstLineChars="100"/>
        <w:rPr>
          <w:rFonts w:asciiTheme="minorEastAsia" w:hAnsiTheme="minorEastAsia" w:cstheme="minorEastAsia"/>
          <w:szCs w:val="28"/>
        </w:rPr>
      </w:pPr>
      <w:r>
        <w:rPr>
          <w:rFonts w:hint="eastAsia" w:asciiTheme="minorEastAsia" w:hAnsiTheme="minorEastAsia" w:eastAsiaTheme="minorEastAsia" w:cstheme="minorEastAsia"/>
          <w:szCs w:val="28"/>
        </w:rPr>
        <w:t>（2）纵向科研项目预算根据中央或地方规定的科目，结合项目的实际支出需求进行编制；严格按照批复的预算执行，确有必要调整应符合中央和地方规定的预算调整范围，履行调整审批程序，间接费用预算不得调整。</w:t>
      </w:r>
    </w:p>
    <w:p>
      <w:pPr>
        <w:ind w:firstLine="280" w:firstLineChars="100"/>
        <w:rPr>
          <w:rFonts w:asciiTheme="minorEastAsia" w:hAnsiTheme="minorEastAsia" w:cstheme="minorEastAsia"/>
          <w:szCs w:val="28"/>
        </w:rPr>
      </w:pPr>
      <w:r>
        <w:rPr>
          <w:rFonts w:hint="eastAsia" w:asciiTheme="minorEastAsia" w:hAnsiTheme="minorEastAsia" w:eastAsiaTheme="minorEastAsia" w:cstheme="minorEastAsia"/>
          <w:szCs w:val="28"/>
        </w:rPr>
        <w:t>（3）横向科研项目预算编制及调整按照合同约定执行。</w:t>
      </w:r>
    </w:p>
    <w:p>
      <w:pPr>
        <w:ind w:firstLine="280" w:firstLineChars="100"/>
        <w:rPr>
          <w:rFonts w:asciiTheme="minorEastAsia" w:hAnsiTheme="minorEastAsia" w:cstheme="minorEastAsia"/>
          <w:szCs w:val="28"/>
        </w:rPr>
      </w:pPr>
      <w:r>
        <w:rPr>
          <w:rFonts w:hint="eastAsia" w:asciiTheme="minorEastAsia" w:hAnsiTheme="minorEastAsia" w:eastAsiaTheme="minorEastAsia" w:cstheme="minorEastAsia"/>
          <w:szCs w:val="28"/>
        </w:rPr>
        <w:t>（4）经费到账及时办理认领入账手续，支出严格按照批复的预算，在各科目支出范围内合规使用。</w:t>
      </w:r>
    </w:p>
    <w:p>
      <w:pPr>
        <w:ind w:firstLine="280" w:firstLineChars="100"/>
        <w:rPr>
          <w:rFonts w:asciiTheme="minorEastAsia" w:hAnsiTheme="minorEastAsia" w:cstheme="minorEastAsia"/>
          <w:szCs w:val="28"/>
        </w:rPr>
      </w:pPr>
      <w:r>
        <w:rPr>
          <w:rFonts w:hint="eastAsia" w:asciiTheme="minorEastAsia" w:hAnsiTheme="minorEastAsia" w:eastAsiaTheme="minorEastAsia" w:cstheme="minorEastAsia"/>
          <w:szCs w:val="28"/>
        </w:rPr>
        <w:t>（5）科研项目结题后应按中央、地方及学校相关规定及时办理结账和项目结转结余资金账务处理。</w:t>
      </w:r>
    </w:p>
    <w:p>
      <w:pPr>
        <w:ind w:firstLine="0" w:firstLineChars="0"/>
        <w:outlineLvl w:val="1"/>
        <w:rPr>
          <w:rFonts w:asciiTheme="minorEastAsia" w:hAnsiTheme="minorEastAsia" w:cstheme="minorEastAsia"/>
          <w:b/>
          <w:bCs/>
          <w:sz w:val="30"/>
          <w:szCs w:val="30"/>
        </w:rPr>
      </w:pPr>
      <w:bookmarkStart w:id="106" w:name="_Toc48062500"/>
      <w:r>
        <w:rPr>
          <w:rFonts w:hint="eastAsia" w:asciiTheme="minorEastAsia" w:hAnsiTheme="minorEastAsia" w:eastAsiaTheme="minorEastAsia" w:cstheme="minorEastAsia"/>
          <w:b/>
          <w:bCs/>
          <w:sz w:val="30"/>
          <w:szCs w:val="30"/>
        </w:rPr>
        <w:t>3.4《暨南大学科研项目预算调整实施细则》（暨财【2018】6号）及关于修改《暨南大学科研项目预算调整实施细则》的决定（暨财【2019】42号）</w:t>
      </w:r>
      <w:bookmarkEnd w:id="106"/>
    </w:p>
    <w:p>
      <w:pPr>
        <w:ind w:firstLine="638" w:firstLineChars="228"/>
        <w:rPr>
          <w:rFonts w:asciiTheme="minorEastAsia" w:hAnsiTheme="minorEastAsia" w:eastAsiaTheme="minorEastAsia" w:cstheme="minorEastAsia"/>
          <w:szCs w:val="28"/>
        </w:rPr>
      </w:pPr>
      <w:r>
        <w:rPr>
          <w:rFonts w:hint="eastAsia" w:asciiTheme="minorEastAsia" w:hAnsiTheme="minorEastAsia" w:eastAsiaTheme="minorEastAsia" w:cstheme="minorEastAsia"/>
          <w:szCs w:val="28"/>
        </w:rPr>
        <w:t>你是否还在疑惑科研经费预算多了个上浮金额？是否还在担心科研经费预算超支？根据中央、以及地方的文件精神，我校出台的</w:t>
      </w:r>
      <w:r>
        <w:rPr>
          <w:rFonts w:hint="eastAsia" w:asciiTheme="minorEastAsia" w:hAnsiTheme="minorEastAsia" w:eastAsiaTheme="minorEastAsia" w:cstheme="minorEastAsia"/>
          <w:bCs/>
          <w:szCs w:val="28"/>
        </w:rPr>
        <w:t>暨财【2019】42号</w:t>
      </w:r>
      <w:r>
        <w:rPr>
          <w:rFonts w:hint="eastAsia" w:asciiTheme="minorEastAsia" w:hAnsiTheme="minorEastAsia" w:eastAsiaTheme="minorEastAsia" w:cstheme="minorEastAsia"/>
          <w:szCs w:val="28"/>
        </w:rPr>
        <w:t>落实和明确预算调整权限下放，对于已经下放调剂权限的费用类别，科研人员可以自主调剂使用啦！</w:t>
      </w:r>
    </w:p>
    <w:p>
      <w:pPr>
        <w:ind w:firstLine="638" w:firstLineChars="228"/>
        <w:rPr>
          <w:rFonts w:asciiTheme="minorEastAsia" w:hAnsiTheme="minorEastAsia" w:cstheme="minorEastAsia"/>
          <w:szCs w:val="28"/>
        </w:rPr>
      </w:pPr>
      <w:r>
        <w:rPr>
          <w:rFonts w:hint="eastAsia" w:asciiTheme="minorEastAsia" w:hAnsiTheme="minorEastAsia" w:eastAsiaTheme="minorEastAsia" w:cstheme="minorEastAsia"/>
          <w:szCs w:val="28"/>
        </w:rPr>
        <w:t>赶紧来学习一下哪些费用预算权限已经下放了吧！</w:t>
      </w:r>
    </w:p>
    <w:p>
      <w:pPr>
        <w:ind w:firstLine="338" w:firstLineChars="121"/>
        <w:rPr>
          <w:rFonts w:asciiTheme="minorEastAsia" w:hAnsiTheme="minorEastAsia" w:cstheme="minorEastAsia"/>
          <w:szCs w:val="28"/>
        </w:rPr>
      </w:pPr>
      <w:r>
        <w:rPr>
          <w:rFonts w:hint="eastAsia" w:asciiTheme="minorEastAsia" w:hAnsiTheme="minorEastAsia" w:cstheme="minorEastAsia"/>
          <w:szCs w:val="28"/>
        </w:rPr>
        <w:t>（1）</w:t>
      </w:r>
      <w:r>
        <w:rPr>
          <w:rFonts w:hint="eastAsia" w:asciiTheme="minorEastAsia" w:hAnsiTheme="minorEastAsia" w:eastAsiaTheme="minorEastAsia" w:cstheme="minorEastAsia"/>
          <w:szCs w:val="28"/>
        </w:rPr>
        <w:t>预算调整权限不断下放。</w:t>
      </w:r>
    </w:p>
    <w:p>
      <w:pPr>
        <w:ind w:firstLine="560"/>
        <w:rPr>
          <w:rFonts w:asciiTheme="minorEastAsia" w:hAnsiTheme="minorEastAsia" w:cstheme="minorEastAsia"/>
          <w:szCs w:val="28"/>
        </w:rPr>
      </w:pPr>
      <w:r>
        <w:rPr>
          <w:rFonts w:hint="eastAsia" w:asciiTheme="minorEastAsia" w:hAnsiTheme="minorEastAsia" w:eastAsiaTheme="minorEastAsia" w:cstheme="minorEastAsia"/>
          <w:szCs w:val="28"/>
        </w:rPr>
        <w:t>科技类国家级项目除设备费调增外，其余直接费用科目，项目负责人可根据科研活动的实际需求进行预算调整；广东省、市级科研项目直接费用中所有科目全部放开。</w:t>
      </w:r>
    </w:p>
    <w:p>
      <w:pPr>
        <w:ind w:firstLine="560"/>
        <w:rPr>
          <w:rFonts w:asciiTheme="minorEastAsia" w:hAnsiTheme="minorEastAsia" w:cstheme="minorEastAsia"/>
          <w:szCs w:val="28"/>
        </w:rPr>
      </w:pPr>
      <w:r>
        <w:rPr>
          <w:rFonts w:hint="eastAsia" w:asciiTheme="minorEastAsia" w:hAnsiTheme="minorEastAsia" w:eastAsiaTheme="minorEastAsia" w:cstheme="minorEastAsia"/>
          <w:szCs w:val="28"/>
        </w:rPr>
        <w:t>社科类科研项目除增列外拨经费外，其余直接费用科目，项目负责人可根据科研活动的实际需求进行预算调整。</w:t>
      </w:r>
    </w:p>
    <w:p>
      <w:pPr>
        <w:ind w:firstLine="338" w:firstLineChars="121"/>
        <w:rPr>
          <w:rFonts w:asciiTheme="minorEastAsia" w:hAnsiTheme="minorEastAsia" w:cstheme="minorEastAsia"/>
          <w:szCs w:val="28"/>
        </w:rPr>
      </w:pPr>
      <w:r>
        <w:rPr>
          <w:rFonts w:hint="eastAsia" w:asciiTheme="minorEastAsia" w:hAnsiTheme="minorEastAsia" w:cstheme="minorEastAsia"/>
          <w:szCs w:val="28"/>
        </w:rPr>
        <w:t>（2）</w:t>
      </w:r>
      <w:r>
        <w:rPr>
          <w:rFonts w:hint="eastAsia" w:asciiTheme="minorEastAsia" w:hAnsiTheme="minorEastAsia" w:eastAsiaTheme="minorEastAsia" w:cstheme="minorEastAsia"/>
          <w:szCs w:val="28"/>
        </w:rPr>
        <w:t>预算调整审批程序持续优化—实行分类、分额度审批制度。</w:t>
      </w:r>
    </w:p>
    <w:p>
      <w:pPr>
        <w:ind w:firstLine="560"/>
        <w:rPr>
          <w:rFonts w:asciiTheme="minorEastAsia" w:hAnsiTheme="minorEastAsia" w:cstheme="minorEastAsia"/>
          <w:szCs w:val="28"/>
        </w:rPr>
      </w:pPr>
      <w:r>
        <w:rPr>
          <w:rFonts w:hint="eastAsia" w:asciiTheme="minorEastAsia" w:hAnsiTheme="minorEastAsia" w:eastAsiaTheme="minorEastAsia" w:cstheme="minorEastAsia"/>
          <w:szCs w:val="28"/>
        </w:rPr>
        <w:t>科技类除国家级项目设备费外，调增幅度30%以内的调整由项目负责人自主调剂使用；社科类项目调增幅度5万元以内的变动由项目负责人自主调剂使用；中央高校基本科研业务费项目所有预算科目自主调剂使用。</w:t>
      </w:r>
    </w:p>
    <w:p>
      <w:pPr>
        <w:ind w:firstLine="560"/>
        <w:rPr>
          <w:rFonts w:asciiTheme="minorEastAsia" w:hAnsiTheme="minorEastAsia" w:cstheme="minorEastAsia"/>
          <w:szCs w:val="28"/>
        </w:rPr>
      </w:pPr>
      <w:r>
        <w:rPr>
          <w:rFonts w:hint="eastAsia" w:asciiTheme="minorEastAsia" w:hAnsiTheme="minorEastAsia" w:eastAsiaTheme="minorEastAsia" w:cstheme="minorEastAsia"/>
          <w:szCs w:val="28"/>
        </w:rPr>
        <w:t>涉及各预算科目调增幅度以内的预算变动，在项目中期检查或项目结项前均须履行一次性预算调整内部审批手续。</w:t>
      </w:r>
    </w:p>
    <w:p>
      <w:pPr>
        <w:ind w:firstLine="0" w:firstLineChars="0"/>
        <w:outlineLvl w:val="1"/>
        <w:rPr>
          <w:rFonts w:asciiTheme="minorEastAsia" w:hAnsiTheme="minorEastAsia" w:cstheme="minorEastAsia"/>
          <w:b/>
          <w:bCs/>
          <w:sz w:val="30"/>
          <w:szCs w:val="30"/>
        </w:rPr>
      </w:pPr>
      <w:bookmarkStart w:id="107" w:name="_Toc48062501"/>
      <w:r>
        <w:rPr>
          <w:rFonts w:hint="eastAsia" w:asciiTheme="minorEastAsia" w:hAnsiTheme="minorEastAsia" w:eastAsiaTheme="minorEastAsia" w:cstheme="minorEastAsia"/>
          <w:b/>
          <w:bCs/>
          <w:sz w:val="30"/>
          <w:szCs w:val="30"/>
        </w:rPr>
        <w:t>3.5 《暨南大学科研项目结余经费管理细则（试行）》（暨财【2018】6号）以及关于修订《暨南大学科研项目结余经费管理细则（试行）》的决定（暨财【2020】30号）</w:t>
      </w:r>
      <w:bookmarkEnd w:id="107"/>
    </w:p>
    <w:p>
      <w:pPr>
        <w:ind w:firstLine="638" w:firstLineChars="228"/>
        <w:rPr>
          <w:rFonts w:asciiTheme="minorEastAsia" w:hAnsiTheme="minorEastAsia" w:eastAsiaTheme="minorEastAsia" w:cstheme="minorEastAsia"/>
          <w:szCs w:val="28"/>
        </w:rPr>
      </w:pPr>
      <w:r>
        <w:rPr>
          <w:rFonts w:hint="eastAsia" w:asciiTheme="minorEastAsia" w:hAnsiTheme="minorEastAsia" w:eastAsiaTheme="minorEastAsia" w:cstheme="minorEastAsia"/>
          <w:bCs/>
          <w:szCs w:val="28"/>
        </w:rPr>
        <w:t>暨财【2018】6号及暨财【2020】30号</w:t>
      </w:r>
      <w:r>
        <w:rPr>
          <w:rFonts w:hint="eastAsia" w:asciiTheme="minorEastAsia" w:hAnsiTheme="minorEastAsia" w:eastAsiaTheme="minorEastAsia" w:cstheme="minorEastAsia"/>
          <w:szCs w:val="28"/>
        </w:rPr>
        <w:t>改进结转结余资金留用处理方式，进一步延长结余经费留用期限，纵向科研项目最高延长至5年，横向科研项目合同没有明确约定的，不设定使用期限。</w:t>
      </w:r>
    </w:p>
    <w:p>
      <w:pPr>
        <w:ind w:firstLine="280" w:firstLineChars="100"/>
        <w:outlineLvl w:val="2"/>
        <w:rPr>
          <w:rFonts w:asciiTheme="minorEastAsia" w:hAnsiTheme="minorEastAsia" w:cstheme="minorEastAsia"/>
          <w:szCs w:val="28"/>
        </w:rPr>
      </w:pPr>
      <w:bookmarkStart w:id="108" w:name="_Toc48062502"/>
      <w:r>
        <w:rPr>
          <w:rFonts w:hint="eastAsia" w:asciiTheme="minorEastAsia" w:hAnsiTheme="minorEastAsia" w:cstheme="minorEastAsia"/>
          <w:szCs w:val="28"/>
        </w:rPr>
        <w:t>（1）</w:t>
      </w:r>
      <w:r>
        <w:rPr>
          <w:rFonts w:hint="eastAsia" w:asciiTheme="minorEastAsia" w:hAnsiTheme="minorEastAsia" w:eastAsiaTheme="minorEastAsia" w:cstheme="minorEastAsia"/>
          <w:szCs w:val="28"/>
        </w:rPr>
        <w:t>科研项目结题结账管理。</w:t>
      </w:r>
      <w:bookmarkEnd w:id="108"/>
    </w:p>
    <w:p>
      <w:pPr>
        <w:ind w:firstLine="560"/>
        <w:rPr>
          <w:rFonts w:asciiTheme="minorEastAsia" w:hAnsiTheme="minorEastAsia" w:cstheme="minorEastAsia"/>
          <w:szCs w:val="28"/>
        </w:rPr>
      </w:pPr>
      <w:r>
        <w:rPr>
          <w:rFonts w:hint="eastAsia" w:asciiTheme="minorEastAsia" w:hAnsiTheme="minorEastAsia" w:eastAsiaTheme="minorEastAsia" w:cstheme="minorEastAsia"/>
          <w:szCs w:val="28"/>
        </w:rPr>
        <w:t>科研项目必须按合同或协议要求按时办理结题决算和财务验收，特殊情况延期结题需提出申请；由多个单位共同承担一个项目的，由项目承担单位的项目负责人汇总编制项目决算，进行科研财务审核。</w:t>
      </w:r>
    </w:p>
    <w:p>
      <w:pPr>
        <w:ind w:firstLine="198" w:firstLineChars="71"/>
        <w:outlineLvl w:val="2"/>
        <w:rPr>
          <w:rFonts w:asciiTheme="minorEastAsia" w:hAnsiTheme="minorEastAsia" w:cstheme="minorEastAsia"/>
          <w:szCs w:val="28"/>
        </w:rPr>
      </w:pPr>
      <w:bookmarkStart w:id="109" w:name="_Toc48062503"/>
      <w:r>
        <w:rPr>
          <w:rFonts w:hint="eastAsia" w:asciiTheme="minorEastAsia" w:hAnsiTheme="minorEastAsia" w:cstheme="minorEastAsia"/>
          <w:szCs w:val="28"/>
        </w:rPr>
        <w:t>（2）</w:t>
      </w:r>
      <w:r>
        <w:rPr>
          <w:rFonts w:hint="eastAsia" w:asciiTheme="minorEastAsia" w:hAnsiTheme="minorEastAsia" w:eastAsiaTheme="minorEastAsia" w:cstheme="minorEastAsia"/>
          <w:szCs w:val="28"/>
        </w:rPr>
        <w:t>科研项目结余经费据实列支，留用期限延长。</w:t>
      </w:r>
      <w:bookmarkEnd w:id="109"/>
    </w:p>
    <w:p>
      <w:pPr>
        <w:ind w:firstLine="560"/>
        <w:rPr>
          <w:rFonts w:asciiTheme="minorEastAsia" w:hAnsiTheme="minorEastAsia" w:cstheme="minorEastAsia"/>
          <w:szCs w:val="28"/>
        </w:rPr>
      </w:pPr>
      <w:r>
        <w:rPr>
          <w:rFonts w:hint="eastAsia" w:asciiTheme="minorEastAsia" w:hAnsiTheme="minorEastAsia" w:eastAsiaTheme="minorEastAsia" w:cstheme="minorEastAsia"/>
          <w:szCs w:val="28"/>
        </w:rPr>
        <w:t>纵向项目：中央财政科研项目留在原项目使用期限（自结题验收结论下达后次年1月1日起）为18个月，到期未使用完由学校预算统筹，结题验收两年后按规定由原渠道退回；广东省及广州市财政科研项目留在原项目使用期限（自结题验收结论下达后次年1月1日起）为5年，到期未使用完由学校预算统筹；其他纵向科研项目参照项目主管部门相关规定执行。</w:t>
      </w:r>
    </w:p>
    <w:p>
      <w:pPr>
        <w:ind w:firstLine="560"/>
        <w:rPr>
          <w:rFonts w:asciiTheme="minorEastAsia" w:hAnsiTheme="minorEastAsia" w:cstheme="minorEastAsia"/>
          <w:szCs w:val="28"/>
        </w:rPr>
      </w:pPr>
      <w:r>
        <w:rPr>
          <w:rFonts w:hint="eastAsia" w:asciiTheme="minorEastAsia" w:hAnsiTheme="minorEastAsia" w:eastAsiaTheme="minorEastAsia" w:cstheme="minorEastAsia"/>
          <w:szCs w:val="28"/>
        </w:rPr>
        <w:t>横向项目：按项目合同约定办理；没有明确约定的，不设定使用期限，根据后续科研活动需要据实列支。</w:t>
      </w:r>
    </w:p>
    <w:p>
      <w:pPr>
        <w:ind w:firstLine="560"/>
        <w:rPr>
          <w:rFonts w:asciiTheme="minorEastAsia" w:hAnsiTheme="minorEastAsia" w:cstheme="minorEastAsia"/>
          <w:szCs w:val="28"/>
        </w:rPr>
      </w:pPr>
      <w:r>
        <w:rPr>
          <w:rFonts w:hint="eastAsia" w:asciiTheme="minorEastAsia" w:hAnsiTheme="minorEastAsia" w:eastAsiaTheme="minorEastAsia" w:cstheme="minorEastAsia"/>
          <w:szCs w:val="28"/>
        </w:rPr>
        <w:t>结余经费中各预算科目的使用不再设置比例限制，项目组根据研究需要按科研经费直接费用的开支范围据实列支。</w:t>
      </w:r>
    </w:p>
    <w:p>
      <w:pPr>
        <w:ind w:firstLine="0" w:firstLineChars="0"/>
        <w:outlineLvl w:val="1"/>
        <w:rPr>
          <w:rFonts w:asciiTheme="minorEastAsia" w:hAnsiTheme="minorEastAsia" w:eastAsiaTheme="minorEastAsia" w:cstheme="minorEastAsia"/>
          <w:b/>
          <w:bCs/>
          <w:sz w:val="30"/>
          <w:szCs w:val="30"/>
          <w:shd w:val="clear" w:color="auto" w:fill="FFFFFF"/>
        </w:rPr>
      </w:pPr>
      <w:bookmarkStart w:id="110" w:name="_Toc48062504"/>
      <w:r>
        <w:rPr>
          <w:rFonts w:hint="eastAsia" w:asciiTheme="minorEastAsia" w:hAnsiTheme="minorEastAsia" w:eastAsiaTheme="minorEastAsia" w:cstheme="minorEastAsia"/>
          <w:b/>
          <w:bCs/>
          <w:sz w:val="30"/>
          <w:szCs w:val="30"/>
          <w:shd w:val="clear" w:color="auto" w:fill="FFFFFF"/>
        </w:rPr>
        <w:t>3.6 《暨南大学横向科研项目经费管理细则（暂行）》（暨财【2019】35号）</w:t>
      </w:r>
      <w:bookmarkEnd w:id="110"/>
    </w:p>
    <w:p>
      <w:pPr>
        <w:widowControl/>
        <w:adjustRightInd w:val="0"/>
        <w:snapToGrid w:val="0"/>
        <w:spacing w:line="360" w:lineRule="auto"/>
        <w:ind w:firstLine="560"/>
        <w:rPr>
          <w:rFonts w:asciiTheme="minorEastAsia" w:hAnsiTheme="minorEastAsia" w:eastAsiaTheme="minorEastAsia" w:cstheme="minorEastAsia"/>
          <w:bCs/>
          <w:color w:val="000000"/>
          <w:kern w:val="0"/>
          <w:szCs w:val="28"/>
        </w:rPr>
      </w:pPr>
      <w:r>
        <w:rPr>
          <w:rFonts w:hint="eastAsia" w:asciiTheme="minorEastAsia" w:hAnsiTheme="minorEastAsia" w:eastAsiaTheme="minorEastAsia" w:cstheme="minorEastAsia"/>
          <w:bCs/>
          <w:color w:val="000000"/>
          <w:kern w:val="0"/>
          <w:szCs w:val="28"/>
        </w:rPr>
        <w:t>文件</w:t>
      </w:r>
      <w:r>
        <w:rPr>
          <w:rFonts w:hint="eastAsia" w:asciiTheme="minorEastAsia" w:hAnsiTheme="minorEastAsia" w:eastAsiaTheme="minorEastAsia" w:cstheme="minorEastAsia"/>
          <w:szCs w:val="28"/>
          <w:shd w:val="clear" w:color="auto" w:fill="FFFFFF"/>
        </w:rPr>
        <w:t>明确了横向科研业务接待区别于公务接待，提高了科研业务接待餐费的标准，简化了报销材料；并且调整了计提管理费率，鼓励科研人员争取</w:t>
      </w:r>
      <w:r>
        <w:rPr>
          <w:rFonts w:hint="eastAsia" w:asciiTheme="minorEastAsia" w:hAnsiTheme="minorEastAsia" w:eastAsiaTheme="minorEastAsia" w:cstheme="minorEastAsia"/>
          <w:bCs/>
          <w:color w:val="000000"/>
          <w:kern w:val="0"/>
          <w:szCs w:val="28"/>
        </w:rPr>
        <w:t>大项目！</w:t>
      </w:r>
    </w:p>
    <w:p>
      <w:pPr>
        <w:spacing w:line="360" w:lineRule="auto"/>
        <w:ind w:firstLine="280" w:firstLineChars="100"/>
        <w:rPr>
          <w:rFonts w:asciiTheme="minorEastAsia" w:hAnsiTheme="minorEastAsia" w:cstheme="minorEastAsia"/>
          <w:szCs w:val="28"/>
          <w:shd w:val="clear" w:color="auto" w:fill="FFFFFF"/>
        </w:rPr>
      </w:pPr>
      <w:r>
        <w:rPr>
          <w:rFonts w:hint="eastAsia" w:asciiTheme="minorEastAsia" w:hAnsiTheme="minorEastAsia" w:cstheme="minorEastAsia"/>
          <w:szCs w:val="28"/>
          <w:shd w:val="clear" w:color="auto" w:fill="FFFFFF"/>
        </w:rPr>
        <w:t>（1）</w:t>
      </w:r>
      <w:r>
        <w:rPr>
          <w:rFonts w:hint="eastAsia" w:asciiTheme="minorEastAsia" w:hAnsiTheme="minorEastAsia" w:eastAsiaTheme="minorEastAsia" w:cstheme="minorEastAsia"/>
          <w:szCs w:val="28"/>
          <w:shd w:val="clear" w:color="auto" w:fill="FFFFFF"/>
        </w:rPr>
        <w:t>调整项目计提管理费率，减少大项目管理成本</w:t>
      </w:r>
      <w:r>
        <w:rPr>
          <w:rFonts w:hint="eastAsia" w:asciiTheme="minorEastAsia" w:hAnsiTheme="minorEastAsia" w:cstheme="minorEastAsia"/>
          <w:szCs w:val="28"/>
          <w:shd w:val="clear" w:color="auto" w:fill="FFFFFF"/>
        </w:rPr>
        <w:t>。</w:t>
      </w:r>
    </w:p>
    <w:p>
      <w:pPr>
        <w:widowControl/>
        <w:adjustRightInd w:val="0"/>
        <w:snapToGrid w:val="0"/>
        <w:spacing w:line="360" w:lineRule="auto"/>
        <w:ind w:firstLine="560"/>
        <w:rPr>
          <w:rFonts w:asciiTheme="minorEastAsia" w:hAnsiTheme="minorEastAsia" w:cstheme="minorEastAsia"/>
          <w:bCs/>
          <w:color w:val="000000"/>
          <w:kern w:val="0"/>
          <w:szCs w:val="28"/>
        </w:rPr>
      </w:pPr>
      <w:r>
        <w:rPr>
          <w:rFonts w:hint="eastAsia" w:asciiTheme="minorEastAsia" w:hAnsiTheme="minorEastAsia" w:eastAsiaTheme="minorEastAsia" w:cstheme="minorEastAsia"/>
          <w:bCs/>
          <w:color w:val="000000"/>
          <w:kern w:val="0"/>
          <w:szCs w:val="28"/>
        </w:rPr>
        <w:t>科类横向科研项目：100万元（不含）以下的项目提取项目管理费4%和资源占用费2%；100万元（含）-300万元（不含）的项目，提取项目管理费3%和资源占用费2%；300万元（含）以上的项目提取项目管理费2%和资源占用费2%。</w:t>
      </w:r>
    </w:p>
    <w:p>
      <w:pPr>
        <w:widowControl/>
        <w:adjustRightInd w:val="0"/>
        <w:snapToGrid w:val="0"/>
        <w:spacing w:line="360" w:lineRule="auto"/>
        <w:ind w:firstLine="560"/>
        <w:rPr>
          <w:rFonts w:asciiTheme="minorEastAsia" w:hAnsiTheme="minorEastAsia" w:cstheme="minorEastAsia"/>
          <w:bCs/>
          <w:color w:val="000000"/>
          <w:kern w:val="0"/>
          <w:szCs w:val="28"/>
        </w:rPr>
      </w:pPr>
      <w:r>
        <w:rPr>
          <w:rFonts w:hint="eastAsia" w:asciiTheme="minorEastAsia" w:hAnsiTheme="minorEastAsia" w:eastAsiaTheme="minorEastAsia" w:cstheme="minorEastAsia"/>
          <w:bCs/>
          <w:color w:val="000000"/>
          <w:kern w:val="0"/>
          <w:szCs w:val="28"/>
        </w:rPr>
        <w:t>社科类横向科研项目：100万元（不含）以下的项目提取项目校级管理费4%、院级管理费1%和资源占用费4%；100万元（含）--300万元（不含）的项目提取校级项目管理费3%、院级管理费1%和资源占用费4%；300万元（含）以上的项目提取项目管理费2%、院级管理费1%和资源占用费4%。</w:t>
      </w:r>
    </w:p>
    <w:p>
      <w:pPr>
        <w:widowControl/>
        <w:adjustRightInd w:val="0"/>
        <w:snapToGrid w:val="0"/>
        <w:spacing w:line="360" w:lineRule="auto"/>
        <w:ind w:firstLine="560"/>
        <w:rPr>
          <w:rFonts w:asciiTheme="minorEastAsia" w:hAnsiTheme="minorEastAsia" w:cstheme="minorEastAsia"/>
          <w:bCs/>
          <w:color w:val="000000"/>
          <w:kern w:val="0"/>
          <w:szCs w:val="28"/>
        </w:rPr>
      </w:pPr>
      <w:r>
        <w:rPr>
          <w:rFonts w:hint="eastAsia" w:asciiTheme="minorEastAsia" w:hAnsiTheme="minorEastAsia" w:cstheme="minorEastAsia"/>
          <w:bCs/>
          <w:szCs w:val="28"/>
          <w:shd w:val="clear" w:color="auto" w:fill="FFFFFF"/>
        </w:rPr>
        <w:t>（2）</w:t>
      </w:r>
      <w:r>
        <w:rPr>
          <w:rFonts w:hint="eastAsia" w:asciiTheme="minorEastAsia" w:hAnsiTheme="minorEastAsia" w:eastAsiaTheme="minorEastAsia" w:cstheme="minorEastAsia"/>
          <w:bCs/>
          <w:szCs w:val="28"/>
          <w:shd w:val="clear" w:color="auto" w:fill="FFFFFF"/>
        </w:rPr>
        <w:t>提高横向科研接待费标准，简化报销材料</w:t>
      </w:r>
      <w:r>
        <w:rPr>
          <w:rFonts w:hint="eastAsia" w:asciiTheme="minorEastAsia" w:hAnsiTheme="minorEastAsia" w:cstheme="minorEastAsia"/>
          <w:bCs/>
          <w:szCs w:val="28"/>
          <w:shd w:val="clear" w:color="auto" w:fill="FFFFFF"/>
        </w:rPr>
        <w:t>。</w:t>
      </w:r>
    </w:p>
    <w:p>
      <w:pPr>
        <w:ind w:firstLine="638" w:firstLineChars="228"/>
        <w:rPr>
          <w:rFonts w:asciiTheme="minorEastAsia" w:hAnsi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明确了横向科研业务接待区别于公务接待，接待费预算比例为到账总经费的15%，接待餐标不高于300元/人，报销时仅需提供发票以及《暨南大学横向科研业务接待清单》。</w:t>
      </w:r>
    </w:p>
    <w:p>
      <w:pPr>
        <w:ind w:firstLine="560"/>
        <w:rPr>
          <w:rFonts w:asciiTheme="minorEastAsia" w:hAnsiTheme="minorEastAsia" w:cstheme="minorEastAsia"/>
          <w:szCs w:val="28"/>
          <w:shd w:val="clear" w:color="auto" w:fill="FFFFFF"/>
        </w:rPr>
      </w:pPr>
      <w:r>
        <w:rPr>
          <w:rFonts w:hint="eastAsia" w:asciiTheme="minorEastAsia" w:hAnsiTheme="minorEastAsia" w:cstheme="minorEastAsia"/>
          <w:szCs w:val="28"/>
          <w:shd w:val="clear" w:color="auto" w:fill="FFFFFF"/>
        </w:rPr>
        <w:t>（3）明确了</w:t>
      </w:r>
      <w:r>
        <w:rPr>
          <w:rFonts w:hint="eastAsia" w:asciiTheme="minorEastAsia" w:hAnsiTheme="minorEastAsia" w:eastAsiaTheme="minorEastAsia" w:cstheme="minorEastAsia"/>
          <w:szCs w:val="28"/>
          <w:shd w:val="clear" w:color="auto" w:fill="FFFFFF"/>
        </w:rPr>
        <w:t>人力资源费用最高比例达80%</w:t>
      </w:r>
      <w:r>
        <w:rPr>
          <w:rFonts w:hint="eastAsia" w:asciiTheme="minorEastAsia" w:hAnsiTheme="minorEastAsia" w:cstheme="minorEastAsia"/>
          <w:szCs w:val="28"/>
          <w:shd w:val="clear" w:color="auto" w:fill="FFFFFF"/>
        </w:rPr>
        <w:t>。</w:t>
      </w:r>
    </w:p>
    <w:p>
      <w:pPr>
        <w:ind w:firstLine="638" w:firstLineChars="228"/>
        <w:rPr>
          <w:rFonts w:asciiTheme="minorEastAsia" w:hAnsi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劳务费、专家咨询费及绩效等人力资源费用的比例应按照合同约定，无约定的原则上不超过项目经费总额的70%，基础研究、社会科学研究项目、软科学研究项目和软件开发类项目人力资源费用列支比例不得超过项目经费总额的80%。</w:t>
      </w:r>
    </w:p>
    <w:p>
      <w:pPr>
        <w:ind w:firstLine="560"/>
        <w:rPr>
          <w:rFonts w:asciiTheme="minorEastAsia" w:hAnsiTheme="minorEastAsia" w:cstheme="minorEastAsia"/>
          <w:szCs w:val="28"/>
          <w:shd w:val="clear" w:color="auto" w:fill="FFFFFF"/>
        </w:rPr>
      </w:pPr>
      <w:r>
        <w:rPr>
          <w:rFonts w:hint="eastAsia" w:asciiTheme="minorEastAsia" w:hAnsiTheme="minorEastAsia" w:cstheme="minorEastAsia"/>
          <w:szCs w:val="28"/>
          <w:shd w:val="clear" w:color="auto" w:fill="FFFFFF"/>
        </w:rPr>
        <w:t>（4）</w:t>
      </w:r>
      <w:r>
        <w:rPr>
          <w:rFonts w:hint="eastAsia" w:asciiTheme="minorEastAsia" w:hAnsiTheme="minorEastAsia" w:eastAsiaTheme="minorEastAsia" w:cstheme="minorEastAsia"/>
          <w:szCs w:val="28"/>
          <w:shd w:val="clear" w:color="auto" w:fill="FFFFFF"/>
        </w:rPr>
        <w:t>下放横向经费预算管理自主权</w:t>
      </w:r>
      <w:r>
        <w:rPr>
          <w:rFonts w:hint="eastAsia" w:asciiTheme="minorEastAsia" w:hAnsiTheme="minorEastAsia" w:cstheme="minorEastAsia"/>
          <w:szCs w:val="28"/>
          <w:shd w:val="clear" w:color="auto" w:fill="FFFFFF"/>
        </w:rPr>
        <w:t>。</w:t>
      </w:r>
    </w:p>
    <w:p>
      <w:pPr>
        <w:ind w:firstLine="638" w:firstLineChars="228"/>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新增《暨南大学横向科研项目预算表》，主要提供给有委托单位要求或合同约定需要编制预算的项目负责人进行填写。</w:t>
      </w:r>
    </w:p>
    <w:p>
      <w:pPr>
        <w:ind w:firstLine="0" w:firstLineChars="0"/>
        <w:outlineLvl w:val="1"/>
        <w:rPr>
          <w:rFonts w:asciiTheme="minorEastAsia" w:hAnsiTheme="minorEastAsia" w:eastAsiaTheme="minorEastAsia" w:cstheme="minorEastAsia"/>
          <w:b/>
          <w:bCs/>
          <w:sz w:val="30"/>
          <w:szCs w:val="30"/>
          <w:shd w:val="clear" w:color="auto" w:fill="FFFFFF"/>
        </w:rPr>
      </w:pPr>
      <w:bookmarkStart w:id="111" w:name="_Toc48062505"/>
      <w:r>
        <w:rPr>
          <w:rFonts w:hint="eastAsia" w:asciiTheme="minorEastAsia" w:hAnsiTheme="minorEastAsia" w:eastAsiaTheme="minorEastAsia" w:cstheme="minorEastAsia"/>
          <w:b/>
          <w:bCs/>
          <w:sz w:val="30"/>
          <w:szCs w:val="30"/>
          <w:shd w:val="clear" w:color="auto" w:fill="FFFFFF"/>
        </w:rPr>
        <w:t>3.7暨南大学差旅费管理办法（暨财【2019】40号）</w:t>
      </w:r>
      <w:bookmarkEnd w:id="111"/>
    </w:p>
    <w:p>
      <w:pPr>
        <w:ind w:firstLine="560"/>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bCs/>
          <w:szCs w:val="28"/>
          <w:shd w:val="clear" w:color="auto" w:fill="FFFFFF"/>
        </w:rPr>
        <w:t>暨财【2019】40号</w:t>
      </w:r>
      <w:r>
        <w:rPr>
          <w:rFonts w:hint="eastAsia" w:asciiTheme="minorEastAsia" w:hAnsiTheme="minorEastAsia" w:eastAsiaTheme="minorEastAsia" w:cstheme="minorEastAsia"/>
          <w:szCs w:val="28"/>
          <w:shd w:val="clear" w:color="auto" w:fill="FFFFFF"/>
        </w:rPr>
        <w:t>把“业务出差”与“公务出差”合理区分出来，对于不同性质的经费实行“差异化”管理，切切实实提高科研人员科研业务出差的标准。</w:t>
      </w:r>
    </w:p>
    <w:p>
      <w:pPr>
        <w:ind w:firstLine="560"/>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1）提高“业务出差”乘坐交通工具标准。出差人使用通过竞争方式从校外获取的科研经费（以下简称竞争性科研经费）出差，乘坐飞机的，按不超过公务舱的标准执行（按规定可乘坐头等舱的人员除外）；乘坐其他交通工具的，按不超过省部级的标准执行。</w:t>
      </w:r>
    </w:p>
    <w:p>
      <w:pPr>
        <w:numPr>
          <w:ilvl w:val="0"/>
          <w:numId w:val="1"/>
        </w:numPr>
        <w:ind w:firstLine="560"/>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“业务出差”可不购买公务机票。使用竞争性科研经费报销的出差人，出差时可不选购公务机票，凭票据实报销。</w:t>
      </w:r>
    </w:p>
    <w:p>
      <w:pPr>
        <w:numPr>
          <w:ilvl w:val="0"/>
          <w:numId w:val="1"/>
        </w:numPr>
        <w:ind w:firstLine="560"/>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上调“业务出差”住宿标准并可自行选择包干补贴。使用竞争性科研经费开支的出差活动，住宿费可在不超过省部级标准的范围内凭票据实报销，超出部分由个人自理。出差时间不超过10天（含）的短期差旅，可自主选择凭票据实报销或领取住宿费包干制补贴，包干制补贴根据人员对应等级按《中央和国家机关国内差旅住宿费标准调整表》的标准领取。</w:t>
      </w:r>
    </w:p>
    <w:p>
      <w:pPr>
        <w:ind w:firstLine="0" w:firstLineChars="0"/>
        <w:outlineLvl w:val="1"/>
        <w:rPr>
          <w:rFonts w:asciiTheme="minorEastAsia" w:hAnsiTheme="minorEastAsia" w:eastAsiaTheme="minorEastAsia" w:cstheme="minorEastAsia"/>
          <w:b/>
          <w:bCs/>
          <w:sz w:val="30"/>
          <w:szCs w:val="30"/>
          <w:shd w:val="clear" w:color="auto" w:fill="FFFFFF"/>
        </w:rPr>
      </w:pPr>
      <w:bookmarkStart w:id="112" w:name="_Toc48062506"/>
      <w:r>
        <w:rPr>
          <w:rFonts w:hint="eastAsia" w:asciiTheme="minorEastAsia" w:hAnsiTheme="minorEastAsia" w:eastAsiaTheme="minorEastAsia" w:cstheme="minorEastAsia"/>
          <w:b/>
          <w:bCs/>
          <w:sz w:val="30"/>
          <w:szCs w:val="30"/>
          <w:shd w:val="clear" w:color="auto" w:fill="FFFFFF"/>
        </w:rPr>
        <w:t>3.8暨南大学因公临时出国（境）经费管理办法（暨财【2019】44号）</w:t>
      </w:r>
      <w:bookmarkEnd w:id="112"/>
    </w:p>
    <w:p>
      <w:pPr>
        <w:ind w:firstLine="560"/>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bCs/>
          <w:szCs w:val="28"/>
          <w:shd w:val="clear" w:color="auto" w:fill="FFFFFF"/>
        </w:rPr>
        <w:t>暨财【2019】44号</w:t>
      </w:r>
      <w:r>
        <w:rPr>
          <w:rFonts w:hint="eastAsia" w:asciiTheme="minorEastAsia" w:hAnsiTheme="minorEastAsia" w:eastAsiaTheme="minorEastAsia" w:cstheme="minorEastAsia"/>
          <w:szCs w:val="28"/>
          <w:shd w:val="clear" w:color="auto" w:fill="FFFFFF"/>
        </w:rPr>
        <w:t>是校内关于因公临时出国（境）的新《办法》，其也区分了“业务出差”与“公务出差”，对科研经费实行更宽松的报销管理。</w:t>
      </w:r>
    </w:p>
    <w:p>
      <w:pPr>
        <w:numPr>
          <w:ilvl w:val="0"/>
          <w:numId w:val="2"/>
        </w:numPr>
        <w:ind w:firstLine="560"/>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提高使用科研经费的交通工具标准。使用通过竞争方式从校外获取的科研经费出差，乘坐飞机的，按不超过公务舱的标准执行（按规定可乘坐头等舱的人员除外）；乘坐其他交通工具的，按不超过省部级的标准执行。</w:t>
      </w:r>
    </w:p>
    <w:p>
      <w:pPr>
        <w:numPr>
          <w:ilvl w:val="0"/>
          <w:numId w:val="2"/>
        </w:numPr>
        <w:ind w:firstLine="560"/>
        <w:rPr>
          <w:rFonts w:asciiTheme="minorEastAsia" w:hAnsiTheme="minorEastAsia" w:eastAsiaTheme="minorEastAsia" w:cstheme="minorEastAsia"/>
          <w:szCs w:val="28"/>
          <w:shd w:val="clear" w:color="auto" w:fill="FFFFFF"/>
        </w:rPr>
      </w:pPr>
      <w:r>
        <w:rPr>
          <w:rFonts w:hint="eastAsia" w:asciiTheme="minorEastAsia" w:hAnsiTheme="minorEastAsia" w:eastAsiaTheme="minorEastAsia" w:cstheme="minorEastAsia"/>
          <w:szCs w:val="28"/>
          <w:shd w:val="clear" w:color="auto" w:fill="FFFFFF"/>
        </w:rPr>
        <w:t>放宽使用科研经费出差的住宿费标准。出差人因公临时出国（境）开展科研活动，因季节性因素、时间安排和条件限制等原因导致住宿费超过学校因公临时出国（境）经费管理办法规定标准的，出访人员据实说明后，可在竞争性科研经费中按照上浮50%以内的标准据实报销住宿费。</w:t>
      </w:r>
    </w:p>
    <w:p>
      <w:pPr>
        <w:ind w:firstLine="638" w:firstLineChars="228"/>
        <w:rPr>
          <w:rFonts w:asciiTheme="minorEastAsia" w:hAnsiTheme="minorEastAsia" w:cstheme="minorEastAsia"/>
          <w:szCs w:val="28"/>
        </w:rPr>
      </w:pPr>
    </w:p>
    <w:sectPr>
      <w:headerReference r:id="rId9" w:type="default"/>
      <w:footerReference r:id="rId10"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libri Light">
    <w:panose1 w:val="020F0302020204030204"/>
    <w:charset w:val="00"/>
    <w:family w:val="roman"/>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jc w:val="center"/>
    </w:pPr>
    <w: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pStyle w:val="7"/>
                  <w:ind w:firstLine="360"/>
                </w:pP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81F8B7D"/>
    <w:multiLevelType w:val="singleLevel"/>
    <w:tmpl w:val="881F8B7D"/>
    <w:lvl w:ilvl="0" w:tentative="0">
      <w:start w:val="2"/>
      <w:numFmt w:val="decimal"/>
      <w:suff w:val="nothing"/>
      <w:lvlText w:val="（%1）"/>
      <w:lvlJc w:val="left"/>
    </w:lvl>
  </w:abstractNum>
  <w:abstractNum w:abstractNumId="1">
    <w:nsid w:val="F15B56A2"/>
    <w:multiLevelType w:val="singleLevel"/>
    <w:tmpl w:val="F15B56A2"/>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3A96E95"/>
    <w:rsid w:val="000016E1"/>
    <w:rsid w:val="00002359"/>
    <w:rsid w:val="000064D1"/>
    <w:rsid w:val="00013667"/>
    <w:rsid w:val="00021949"/>
    <w:rsid w:val="00022EC5"/>
    <w:rsid w:val="000235C1"/>
    <w:rsid w:val="0002405C"/>
    <w:rsid w:val="000359CA"/>
    <w:rsid w:val="000418B4"/>
    <w:rsid w:val="000563A5"/>
    <w:rsid w:val="00060503"/>
    <w:rsid w:val="00065D17"/>
    <w:rsid w:val="000671DB"/>
    <w:rsid w:val="00081D49"/>
    <w:rsid w:val="00083EC0"/>
    <w:rsid w:val="0009271B"/>
    <w:rsid w:val="000A48BD"/>
    <w:rsid w:val="000B316C"/>
    <w:rsid w:val="000C3CC1"/>
    <w:rsid w:val="000C4721"/>
    <w:rsid w:val="000E08E7"/>
    <w:rsid w:val="000E7AA5"/>
    <w:rsid w:val="000F6F68"/>
    <w:rsid w:val="00105E88"/>
    <w:rsid w:val="001128B2"/>
    <w:rsid w:val="001206A9"/>
    <w:rsid w:val="001227B1"/>
    <w:rsid w:val="00130876"/>
    <w:rsid w:val="00131AE5"/>
    <w:rsid w:val="0014425E"/>
    <w:rsid w:val="00171435"/>
    <w:rsid w:val="001741BD"/>
    <w:rsid w:val="00186135"/>
    <w:rsid w:val="0018720C"/>
    <w:rsid w:val="00192AC7"/>
    <w:rsid w:val="001A1455"/>
    <w:rsid w:val="001A7798"/>
    <w:rsid w:val="001A7FE1"/>
    <w:rsid w:val="001C1889"/>
    <w:rsid w:val="001C2372"/>
    <w:rsid w:val="001C5692"/>
    <w:rsid w:val="001D4133"/>
    <w:rsid w:val="001D6C9A"/>
    <w:rsid w:val="001F7687"/>
    <w:rsid w:val="00202B04"/>
    <w:rsid w:val="0022755A"/>
    <w:rsid w:val="002430AD"/>
    <w:rsid w:val="0024331E"/>
    <w:rsid w:val="00245F5E"/>
    <w:rsid w:val="002460CB"/>
    <w:rsid w:val="00261EDA"/>
    <w:rsid w:val="00265DE5"/>
    <w:rsid w:val="00277043"/>
    <w:rsid w:val="002A4768"/>
    <w:rsid w:val="002A5C1B"/>
    <w:rsid w:val="002C5E22"/>
    <w:rsid w:val="002D43CE"/>
    <w:rsid w:val="002E10AB"/>
    <w:rsid w:val="002F67EB"/>
    <w:rsid w:val="002F79D0"/>
    <w:rsid w:val="003056A5"/>
    <w:rsid w:val="00323CA4"/>
    <w:rsid w:val="0033235C"/>
    <w:rsid w:val="003332D9"/>
    <w:rsid w:val="00333392"/>
    <w:rsid w:val="003752E8"/>
    <w:rsid w:val="00390453"/>
    <w:rsid w:val="003965D3"/>
    <w:rsid w:val="003969B2"/>
    <w:rsid w:val="00397E9D"/>
    <w:rsid w:val="003A2B7D"/>
    <w:rsid w:val="003B0972"/>
    <w:rsid w:val="003B37C8"/>
    <w:rsid w:val="003B3BC9"/>
    <w:rsid w:val="003B4FA2"/>
    <w:rsid w:val="003C29FC"/>
    <w:rsid w:val="003C53D7"/>
    <w:rsid w:val="003E3762"/>
    <w:rsid w:val="003E56E4"/>
    <w:rsid w:val="003F6D64"/>
    <w:rsid w:val="003F7987"/>
    <w:rsid w:val="00414FCA"/>
    <w:rsid w:val="00420146"/>
    <w:rsid w:val="00420845"/>
    <w:rsid w:val="004248FA"/>
    <w:rsid w:val="004474EA"/>
    <w:rsid w:val="0045080F"/>
    <w:rsid w:val="00472F00"/>
    <w:rsid w:val="00491DA2"/>
    <w:rsid w:val="004934E5"/>
    <w:rsid w:val="004955B4"/>
    <w:rsid w:val="004C7822"/>
    <w:rsid w:val="004D1360"/>
    <w:rsid w:val="004E714F"/>
    <w:rsid w:val="004F0CB6"/>
    <w:rsid w:val="004F1BBC"/>
    <w:rsid w:val="00505102"/>
    <w:rsid w:val="00516E1B"/>
    <w:rsid w:val="00520A56"/>
    <w:rsid w:val="0053744B"/>
    <w:rsid w:val="00537F93"/>
    <w:rsid w:val="0054161E"/>
    <w:rsid w:val="00543690"/>
    <w:rsid w:val="00552915"/>
    <w:rsid w:val="005534E1"/>
    <w:rsid w:val="0056087F"/>
    <w:rsid w:val="00564A67"/>
    <w:rsid w:val="00566543"/>
    <w:rsid w:val="00567687"/>
    <w:rsid w:val="0057662F"/>
    <w:rsid w:val="00583BE5"/>
    <w:rsid w:val="005B70B5"/>
    <w:rsid w:val="005C5174"/>
    <w:rsid w:val="005D7FBE"/>
    <w:rsid w:val="005F42FC"/>
    <w:rsid w:val="0060515C"/>
    <w:rsid w:val="006077F8"/>
    <w:rsid w:val="00625FE6"/>
    <w:rsid w:val="00643022"/>
    <w:rsid w:val="00646007"/>
    <w:rsid w:val="00651BB6"/>
    <w:rsid w:val="00661CD8"/>
    <w:rsid w:val="00662693"/>
    <w:rsid w:val="006811DC"/>
    <w:rsid w:val="00683DEA"/>
    <w:rsid w:val="00694D1F"/>
    <w:rsid w:val="00697553"/>
    <w:rsid w:val="006A4481"/>
    <w:rsid w:val="006B3C25"/>
    <w:rsid w:val="006B4824"/>
    <w:rsid w:val="006C0468"/>
    <w:rsid w:val="006C6364"/>
    <w:rsid w:val="006D17AA"/>
    <w:rsid w:val="006D2011"/>
    <w:rsid w:val="006E2E71"/>
    <w:rsid w:val="006E2ED2"/>
    <w:rsid w:val="006E3445"/>
    <w:rsid w:val="006E49DF"/>
    <w:rsid w:val="006F34DC"/>
    <w:rsid w:val="006F54B7"/>
    <w:rsid w:val="006F70E8"/>
    <w:rsid w:val="0071041F"/>
    <w:rsid w:val="0071120D"/>
    <w:rsid w:val="00722453"/>
    <w:rsid w:val="00733C07"/>
    <w:rsid w:val="00735179"/>
    <w:rsid w:val="00741F34"/>
    <w:rsid w:val="00746A07"/>
    <w:rsid w:val="00747022"/>
    <w:rsid w:val="00747317"/>
    <w:rsid w:val="00750DD9"/>
    <w:rsid w:val="00752241"/>
    <w:rsid w:val="00752B66"/>
    <w:rsid w:val="007555FA"/>
    <w:rsid w:val="007645C2"/>
    <w:rsid w:val="007808F6"/>
    <w:rsid w:val="007818C6"/>
    <w:rsid w:val="00782DF1"/>
    <w:rsid w:val="007929C5"/>
    <w:rsid w:val="007B0099"/>
    <w:rsid w:val="007B29E9"/>
    <w:rsid w:val="007B336A"/>
    <w:rsid w:val="007B3516"/>
    <w:rsid w:val="007C5234"/>
    <w:rsid w:val="007C72B4"/>
    <w:rsid w:val="007D7BB0"/>
    <w:rsid w:val="007F09A0"/>
    <w:rsid w:val="007F5340"/>
    <w:rsid w:val="007F6141"/>
    <w:rsid w:val="00800577"/>
    <w:rsid w:val="00800C1F"/>
    <w:rsid w:val="00816CD9"/>
    <w:rsid w:val="00822297"/>
    <w:rsid w:val="008227DD"/>
    <w:rsid w:val="008229E7"/>
    <w:rsid w:val="00823F22"/>
    <w:rsid w:val="008256C1"/>
    <w:rsid w:val="008443AA"/>
    <w:rsid w:val="008545DA"/>
    <w:rsid w:val="0085731D"/>
    <w:rsid w:val="008642DA"/>
    <w:rsid w:val="008708B3"/>
    <w:rsid w:val="008B5EC6"/>
    <w:rsid w:val="008D27DC"/>
    <w:rsid w:val="008D757E"/>
    <w:rsid w:val="008E2CF8"/>
    <w:rsid w:val="008E2EE5"/>
    <w:rsid w:val="008E48A3"/>
    <w:rsid w:val="008E57A2"/>
    <w:rsid w:val="008E5B67"/>
    <w:rsid w:val="008F3B66"/>
    <w:rsid w:val="0090400C"/>
    <w:rsid w:val="009125A3"/>
    <w:rsid w:val="00915C23"/>
    <w:rsid w:val="00922F20"/>
    <w:rsid w:val="00924A1F"/>
    <w:rsid w:val="00930B45"/>
    <w:rsid w:val="00935641"/>
    <w:rsid w:val="009455A2"/>
    <w:rsid w:val="00951805"/>
    <w:rsid w:val="00963B8B"/>
    <w:rsid w:val="00965268"/>
    <w:rsid w:val="009806FE"/>
    <w:rsid w:val="00991EC6"/>
    <w:rsid w:val="009940E7"/>
    <w:rsid w:val="00996366"/>
    <w:rsid w:val="009A236B"/>
    <w:rsid w:val="009A505A"/>
    <w:rsid w:val="009A6932"/>
    <w:rsid w:val="009A7DC5"/>
    <w:rsid w:val="009C0DD3"/>
    <w:rsid w:val="009C5852"/>
    <w:rsid w:val="009F0476"/>
    <w:rsid w:val="009F348B"/>
    <w:rsid w:val="009F4EF7"/>
    <w:rsid w:val="009F5895"/>
    <w:rsid w:val="00A0069D"/>
    <w:rsid w:val="00A10A0A"/>
    <w:rsid w:val="00A12147"/>
    <w:rsid w:val="00A122AE"/>
    <w:rsid w:val="00A15516"/>
    <w:rsid w:val="00A1713F"/>
    <w:rsid w:val="00A174B0"/>
    <w:rsid w:val="00A17555"/>
    <w:rsid w:val="00A17F12"/>
    <w:rsid w:val="00A20D41"/>
    <w:rsid w:val="00A2767A"/>
    <w:rsid w:val="00A30B49"/>
    <w:rsid w:val="00A41647"/>
    <w:rsid w:val="00A4501F"/>
    <w:rsid w:val="00A521B8"/>
    <w:rsid w:val="00A549A1"/>
    <w:rsid w:val="00A611BE"/>
    <w:rsid w:val="00A636A5"/>
    <w:rsid w:val="00A67479"/>
    <w:rsid w:val="00AA41E3"/>
    <w:rsid w:val="00AA686E"/>
    <w:rsid w:val="00AB32F0"/>
    <w:rsid w:val="00AC24A6"/>
    <w:rsid w:val="00AD2796"/>
    <w:rsid w:val="00AD3AD0"/>
    <w:rsid w:val="00AD6C84"/>
    <w:rsid w:val="00AE022D"/>
    <w:rsid w:val="00AE0FDA"/>
    <w:rsid w:val="00AF2E72"/>
    <w:rsid w:val="00B11476"/>
    <w:rsid w:val="00B16DDD"/>
    <w:rsid w:val="00B20E94"/>
    <w:rsid w:val="00B26690"/>
    <w:rsid w:val="00B327E4"/>
    <w:rsid w:val="00B35EC5"/>
    <w:rsid w:val="00B41476"/>
    <w:rsid w:val="00B523CA"/>
    <w:rsid w:val="00B62A94"/>
    <w:rsid w:val="00B62E61"/>
    <w:rsid w:val="00B634F3"/>
    <w:rsid w:val="00B64015"/>
    <w:rsid w:val="00B75527"/>
    <w:rsid w:val="00B82806"/>
    <w:rsid w:val="00BA4002"/>
    <w:rsid w:val="00BA76EB"/>
    <w:rsid w:val="00BB3EE1"/>
    <w:rsid w:val="00BB4340"/>
    <w:rsid w:val="00BB5A75"/>
    <w:rsid w:val="00BC1B4A"/>
    <w:rsid w:val="00BC4291"/>
    <w:rsid w:val="00BC515B"/>
    <w:rsid w:val="00BC7D34"/>
    <w:rsid w:val="00BD331B"/>
    <w:rsid w:val="00BD3CC3"/>
    <w:rsid w:val="00BD7DD8"/>
    <w:rsid w:val="00BE08AF"/>
    <w:rsid w:val="00BE158F"/>
    <w:rsid w:val="00BE5A6E"/>
    <w:rsid w:val="00C0058C"/>
    <w:rsid w:val="00C00972"/>
    <w:rsid w:val="00C02D8C"/>
    <w:rsid w:val="00C151D0"/>
    <w:rsid w:val="00C24DEA"/>
    <w:rsid w:val="00C303B0"/>
    <w:rsid w:val="00C3263A"/>
    <w:rsid w:val="00C342D1"/>
    <w:rsid w:val="00C34C3D"/>
    <w:rsid w:val="00C411BB"/>
    <w:rsid w:val="00C4518A"/>
    <w:rsid w:val="00C551B0"/>
    <w:rsid w:val="00C62E43"/>
    <w:rsid w:val="00C72098"/>
    <w:rsid w:val="00C85D87"/>
    <w:rsid w:val="00CA1E66"/>
    <w:rsid w:val="00CB0337"/>
    <w:rsid w:val="00CB660F"/>
    <w:rsid w:val="00CC1348"/>
    <w:rsid w:val="00CD1767"/>
    <w:rsid w:val="00CD48ED"/>
    <w:rsid w:val="00CF1E32"/>
    <w:rsid w:val="00CF40D0"/>
    <w:rsid w:val="00CF48A9"/>
    <w:rsid w:val="00CF54E0"/>
    <w:rsid w:val="00CF77BA"/>
    <w:rsid w:val="00CF7C4B"/>
    <w:rsid w:val="00D163AD"/>
    <w:rsid w:val="00D21FE0"/>
    <w:rsid w:val="00D23869"/>
    <w:rsid w:val="00D31E47"/>
    <w:rsid w:val="00D455E2"/>
    <w:rsid w:val="00D45ED0"/>
    <w:rsid w:val="00D47AFF"/>
    <w:rsid w:val="00D51689"/>
    <w:rsid w:val="00D54B75"/>
    <w:rsid w:val="00D55E00"/>
    <w:rsid w:val="00D71305"/>
    <w:rsid w:val="00D749D6"/>
    <w:rsid w:val="00D84446"/>
    <w:rsid w:val="00D91F20"/>
    <w:rsid w:val="00D95978"/>
    <w:rsid w:val="00DA0190"/>
    <w:rsid w:val="00DA3DD4"/>
    <w:rsid w:val="00DB5413"/>
    <w:rsid w:val="00DC56CF"/>
    <w:rsid w:val="00DD54FD"/>
    <w:rsid w:val="00DE720F"/>
    <w:rsid w:val="00DF1A10"/>
    <w:rsid w:val="00DF47AE"/>
    <w:rsid w:val="00DF4D24"/>
    <w:rsid w:val="00DF7528"/>
    <w:rsid w:val="00E013B6"/>
    <w:rsid w:val="00E05C01"/>
    <w:rsid w:val="00E07B42"/>
    <w:rsid w:val="00E2235D"/>
    <w:rsid w:val="00E26875"/>
    <w:rsid w:val="00E468A1"/>
    <w:rsid w:val="00E50006"/>
    <w:rsid w:val="00E62676"/>
    <w:rsid w:val="00E9025B"/>
    <w:rsid w:val="00E90361"/>
    <w:rsid w:val="00E91E52"/>
    <w:rsid w:val="00E948A3"/>
    <w:rsid w:val="00EB4CF5"/>
    <w:rsid w:val="00EB7EF8"/>
    <w:rsid w:val="00EC316A"/>
    <w:rsid w:val="00ED0CAC"/>
    <w:rsid w:val="00ED2AEC"/>
    <w:rsid w:val="00ED3FD8"/>
    <w:rsid w:val="00EE1B7D"/>
    <w:rsid w:val="00EE5036"/>
    <w:rsid w:val="00EE7C41"/>
    <w:rsid w:val="00EF6221"/>
    <w:rsid w:val="00F1520E"/>
    <w:rsid w:val="00F15717"/>
    <w:rsid w:val="00F501B4"/>
    <w:rsid w:val="00F538D5"/>
    <w:rsid w:val="00F625D5"/>
    <w:rsid w:val="00F7501E"/>
    <w:rsid w:val="00F779CE"/>
    <w:rsid w:val="00FA1A27"/>
    <w:rsid w:val="00FC0628"/>
    <w:rsid w:val="00FC2BBE"/>
    <w:rsid w:val="00FC5826"/>
    <w:rsid w:val="00FC6321"/>
    <w:rsid w:val="00FD200A"/>
    <w:rsid w:val="00FD2B05"/>
    <w:rsid w:val="01AC34FA"/>
    <w:rsid w:val="07773AFD"/>
    <w:rsid w:val="0A305E8F"/>
    <w:rsid w:val="0BD70DD6"/>
    <w:rsid w:val="10296426"/>
    <w:rsid w:val="13430443"/>
    <w:rsid w:val="13A96E95"/>
    <w:rsid w:val="15D14ABC"/>
    <w:rsid w:val="1AB93269"/>
    <w:rsid w:val="1DCC4C46"/>
    <w:rsid w:val="1E797C18"/>
    <w:rsid w:val="224F09B4"/>
    <w:rsid w:val="236C2F6B"/>
    <w:rsid w:val="2567591D"/>
    <w:rsid w:val="263C174E"/>
    <w:rsid w:val="31127674"/>
    <w:rsid w:val="33CB60AB"/>
    <w:rsid w:val="35115414"/>
    <w:rsid w:val="36DC3B2E"/>
    <w:rsid w:val="371B5BDD"/>
    <w:rsid w:val="384B6397"/>
    <w:rsid w:val="39AE2314"/>
    <w:rsid w:val="3CEF39AF"/>
    <w:rsid w:val="3F5516AF"/>
    <w:rsid w:val="40181432"/>
    <w:rsid w:val="417E0A08"/>
    <w:rsid w:val="41CC659B"/>
    <w:rsid w:val="42726B50"/>
    <w:rsid w:val="485A1DA0"/>
    <w:rsid w:val="4A3044A9"/>
    <w:rsid w:val="4B1E60F2"/>
    <w:rsid w:val="4EDD6283"/>
    <w:rsid w:val="600A4DB4"/>
    <w:rsid w:val="67271B80"/>
    <w:rsid w:val="68C97BB3"/>
    <w:rsid w:val="6A205914"/>
    <w:rsid w:val="6B2F0BB4"/>
    <w:rsid w:val="6D180884"/>
    <w:rsid w:val="6E025111"/>
    <w:rsid w:val="73343113"/>
    <w:rsid w:val="74304367"/>
    <w:rsid w:val="7F267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nhideWhenUsed="0" w:uiPriority="39" w:semiHidden="0" w:name="toc 5"/>
    <w:lsdException w:unhideWhenUsed="0" w:uiPriority="39" w:semiHidden="0" w:name="toc 6"/>
    <w:lsdException w:unhideWhenUsed="0" w:uiPriority="39" w:semiHidden="0" w:name="toc 7"/>
    <w:lsdException w:unhideWhenUsed="0" w:uiPriority="39" w:semiHidden="0" w:name="toc 8"/>
    <w:lsdException w:unhideWhenUsed="0" w:uiPriority="39"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eastAsia="宋体" w:asciiTheme="minorHAnsi" w:hAnsiTheme="minorHAnsi" w:cstheme="minorBidi"/>
      <w:kern w:val="2"/>
      <w:sz w:val="28"/>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semiHidden/>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cs="Times New Roman"/>
      <w:b/>
      <w:kern w:val="0"/>
      <w:sz w:val="27"/>
      <w:szCs w:val="27"/>
    </w:rPr>
  </w:style>
  <w:style w:type="character" w:default="1" w:styleId="14">
    <w:name w:val="Default Paragraph Font"/>
    <w:semiHidden/>
    <w:unhideWhenUsed/>
    <w:uiPriority w:val="1"/>
  </w:style>
  <w:style w:type="table" w:default="1" w:styleId="13">
    <w:name w:val="Normal Table"/>
    <w:semiHidden/>
    <w:unhideWhenUsed/>
    <w:uiPriority w:val="99"/>
    <w:tblPr>
      <w:tblLayout w:type="fixed"/>
      <w:tblCellMar>
        <w:top w:w="0" w:type="dxa"/>
        <w:left w:w="108" w:type="dxa"/>
        <w:bottom w:w="0" w:type="dxa"/>
        <w:right w:w="108" w:type="dxa"/>
      </w:tblCellMar>
    </w:tblPr>
  </w:style>
  <w:style w:type="paragraph" w:styleId="5">
    <w:name w:val="toc 3"/>
    <w:basedOn w:val="1"/>
    <w:next w:val="1"/>
    <w:qFormat/>
    <w:uiPriority w:val="39"/>
    <w:pPr>
      <w:ind w:left="840" w:leftChars="400"/>
    </w:pPr>
  </w:style>
  <w:style w:type="paragraph" w:styleId="6">
    <w:name w:val="Balloon Text"/>
    <w:basedOn w:val="1"/>
    <w:link w:val="20"/>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paragraph" w:styleId="10">
    <w:name w:val="toc 2"/>
    <w:basedOn w:val="1"/>
    <w:next w:val="1"/>
    <w:qFormat/>
    <w:uiPriority w:val="39"/>
    <w:pPr>
      <w:ind w:left="420" w:leftChars="200"/>
    </w:p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cs="Times New Roman"/>
      <w:kern w:val="0"/>
      <w:sz w:val="24"/>
    </w:rPr>
  </w:style>
  <w:style w:type="paragraph" w:styleId="12">
    <w:name w:val="Normal (Web)"/>
    <w:basedOn w:val="1"/>
    <w:qFormat/>
    <w:uiPriority w:val="0"/>
    <w:pPr>
      <w:spacing w:beforeAutospacing="1" w:afterAutospacing="1"/>
      <w:jc w:val="left"/>
    </w:pPr>
    <w:rPr>
      <w:rFonts w:cs="Times New Roman"/>
      <w:kern w:val="0"/>
      <w:sz w:val="24"/>
    </w:rPr>
  </w:style>
  <w:style w:type="character" w:styleId="15">
    <w:name w:val="Hyperlink"/>
    <w:basedOn w:val="14"/>
    <w:qFormat/>
    <w:uiPriority w:val="99"/>
    <w:rPr>
      <w:color w:val="0000FF"/>
      <w:u w:val="single"/>
    </w:rPr>
  </w:style>
  <w:style w:type="paragraph" w:styleId="16">
    <w:name w:val="List Paragraph"/>
    <w:basedOn w:val="1"/>
    <w:unhideWhenUsed/>
    <w:qFormat/>
    <w:uiPriority w:val="99"/>
    <w:pPr>
      <w:ind w:firstLine="420"/>
    </w:pPr>
  </w:style>
  <w:style w:type="character" w:customStyle="1" w:styleId="17">
    <w:name w:val="页眉 Char"/>
    <w:basedOn w:val="14"/>
    <w:link w:val="8"/>
    <w:qFormat/>
    <w:uiPriority w:val="0"/>
    <w:rPr>
      <w:rFonts w:asciiTheme="minorHAnsi" w:hAnsiTheme="minorHAnsi" w:cstheme="minorBidi"/>
      <w:kern w:val="2"/>
      <w:sz w:val="18"/>
      <w:szCs w:val="18"/>
    </w:rPr>
  </w:style>
  <w:style w:type="character" w:customStyle="1" w:styleId="18">
    <w:name w:val="页脚 Char"/>
    <w:basedOn w:val="14"/>
    <w:link w:val="7"/>
    <w:qFormat/>
    <w:uiPriority w:val="99"/>
    <w:rPr>
      <w:rFonts w:asciiTheme="minorHAnsi" w:hAnsiTheme="minorHAnsi" w:cstheme="minorBidi"/>
      <w:kern w:val="2"/>
      <w:sz w:val="18"/>
      <w:szCs w:val="18"/>
    </w:rPr>
  </w:style>
  <w:style w:type="paragraph" w:customStyle="1" w:styleId="19">
    <w:name w:val="TOC 标题1"/>
    <w:basedOn w:val="2"/>
    <w:next w:val="1"/>
    <w:semiHidden/>
    <w:unhideWhenUsed/>
    <w:qFormat/>
    <w:uiPriority w:val="39"/>
    <w:pPr>
      <w:widowControl/>
      <w:spacing w:before="480" w:after="0" w:line="276" w:lineRule="auto"/>
      <w:ind w:firstLine="0" w:firstLineChars="0"/>
      <w:jc w:val="left"/>
      <w:outlineLvl w:val="9"/>
    </w:pPr>
    <w:rPr>
      <w:rFonts w:asciiTheme="majorHAnsi" w:hAnsiTheme="majorHAnsi" w:eastAsiaTheme="majorEastAsia" w:cstheme="majorBidi"/>
      <w:bCs/>
      <w:color w:val="2E75B5" w:themeColor="accent1" w:themeShade="BF"/>
      <w:kern w:val="0"/>
      <w:sz w:val="28"/>
      <w:szCs w:val="28"/>
    </w:rPr>
  </w:style>
  <w:style w:type="character" w:customStyle="1" w:styleId="20">
    <w:name w:val="批注框文本 Char"/>
    <w:basedOn w:val="14"/>
    <w:link w:val="6"/>
    <w:qFormat/>
    <w:uiPriority w:val="0"/>
    <w:rPr>
      <w:rFonts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18936D-141C-4C84-B284-7DA98E4AAFB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2415</Words>
  <Characters>13767</Characters>
  <Lines>114</Lines>
  <Paragraphs>32</Paragraphs>
  <TotalTime>18</TotalTime>
  <ScaleCrop>false</ScaleCrop>
  <LinksUpToDate>false</LinksUpToDate>
  <CharactersWithSpaces>16150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2020-08-11T12:06:00Z</dcterms:created>
  <dc:creator>云儿要变成熟能干也是Bunny</dc:creator>
  <cp:lastModifiedBy>cwc</cp:lastModifiedBy>
  <dcterms:modified xsi:type="dcterms:W3CDTF">2026-04-16T02:42:14Z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